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1C" w:rsidRPr="00000B1C" w:rsidRDefault="00000B1C" w:rsidP="008768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B1C">
        <w:rPr>
          <w:rFonts w:ascii="Times New Roman" w:hAnsi="Times New Roman" w:cs="Times New Roman"/>
          <w:b/>
          <w:sz w:val="28"/>
          <w:szCs w:val="28"/>
        </w:rPr>
        <w:t xml:space="preserve">Большинство жителей </w:t>
      </w:r>
      <w:bookmarkStart w:id="0" w:name="_GoBack"/>
      <w:bookmarkEnd w:id="0"/>
      <w:r w:rsidRPr="00000B1C">
        <w:rPr>
          <w:rFonts w:ascii="Times New Roman" w:hAnsi="Times New Roman" w:cs="Times New Roman"/>
          <w:b/>
          <w:sz w:val="28"/>
          <w:szCs w:val="28"/>
        </w:rPr>
        <w:t>Подмосковья сумму взноса на капитальный ремонт считают приемлемой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76822" w:rsidRDefault="00876822" w:rsidP="00876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капитального ремонта общего имущества многоквартирных домов Московской области провел социологические исследование о информированности жителей региона о реализации программы</w:t>
      </w:r>
      <w:r w:rsidRPr="00876822">
        <w:rPr>
          <w:rFonts w:ascii="Times New Roman" w:hAnsi="Times New Roman" w:cs="Times New Roman"/>
          <w:sz w:val="28"/>
          <w:szCs w:val="28"/>
        </w:rPr>
        <w:t xml:space="preserve"> капитального ремонта многоквартирных домов.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6822" w:rsidRDefault="00876822" w:rsidP="00876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опросе приняли участие 3000 жителей из </w:t>
      </w:r>
      <w:r w:rsidRPr="00876822">
        <w:rPr>
          <w:rFonts w:ascii="Times New Roman" w:hAnsi="Times New Roman" w:cs="Times New Roman"/>
          <w:sz w:val="28"/>
          <w:szCs w:val="28"/>
        </w:rPr>
        <w:t>9 муниципаль</w:t>
      </w:r>
      <w:r>
        <w:rPr>
          <w:rFonts w:ascii="Times New Roman" w:hAnsi="Times New Roman" w:cs="Times New Roman"/>
          <w:sz w:val="28"/>
          <w:szCs w:val="28"/>
        </w:rPr>
        <w:t>ных округов Московской области</w:t>
      </w:r>
      <w:r w:rsidR="00A560EA">
        <w:rPr>
          <w:rFonts w:ascii="Times New Roman" w:hAnsi="Times New Roman" w:cs="Times New Roman"/>
          <w:sz w:val="28"/>
          <w:szCs w:val="28"/>
        </w:rPr>
        <w:t xml:space="preserve">, </w:t>
      </w:r>
      <w:r w:rsidR="00A560EA" w:rsidRPr="00A560EA">
        <w:rPr>
          <w:rFonts w:ascii="Times New Roman" w:hAnsi="Times New Roman" w:cs="Times New Roman"/>
          <w:sz w:val="28"/>
          <w:szCs w:val="28"/>
        </w:rPr>
        <w:t>в период с 23 по 26 июня 2015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76822">
        <w:rPr>
          <w:rFonts w:ascii="Times New Roman" w:hAnsi="Times New Roman" w:cs="Times New Roman"/>
          <w:sz w:val="28"/>
          <w:szCs w:val="28"/>
        </w:rPr>
        <w:t>Статистическая погрешность не превышает 3%, что позволяет полученную оценку считать достоверной.</w:t>
      </w:r>
    </w:p>
    <w:p w:rsidR="00EA6ECA" w:rsidRDefault="00062B25" w:rsidP="0006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B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6346B40" wp14:editId="04036586">
            <wp:simplePos x="0" y="0"/>
            <wp:positionH relativeFrom="column">
              <wp:posOffset>-327660</wp:posOffset>
            </wp:positionH>
            <wp:positionV relativeFrom="paragraph">
              <wp:posOffset>1301750</wp:posOffset>
            </wp:positionV>
            <wp:extent cx="5940425" cy="3429635"/>
            <wp:effectExtent l="0" t="0" r="3175" b="18415"/>
            <wp:wrapThrough wrapText="bothSides">
              <wp:wrapPolygon edited="0">
                <wp:start x="0" y="0"/>
                <wp:lineTo x="0" y="21596"/>
                <wp:lineTo x="21542" y="21596"/>
                <wp:lineTo x="21542" y="0"/>
                <wp:lineTo x="0" y="0"/>
              </wp:wrapPolygon>
            </wp:wrapThrough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876822" w:rsidRPr="00876822">
        <w:rPr>
          <w:rFonts w:ascii="Times New Roman" w:hAnsi="Times New Roman" w:cs="Times New Roman"/>
          <w:sz w:val="28"/>
          <w:szCs w:val="28"/>
        </w:rPr>
        <w:t>Опрос показал, что подавляющее большинство респондентов – 71,5%, знают о действующем Законе «Об организации проведения капитального ремонта общего имущества в многоквартирных домах», и только 28,5% оказались не осведомлёнными.</w:t>
      </w:r>
      <w:r w:rsidR="00A560EA">
        <w:rPr>
          <w:rFonts w:ascii="Times New Roman" w:hAnsi="Times New Roman" w:cs="Times New Roman"/>
          <w:sz w:val="28"/>
          <w:szCs w:val="28"/>
        </w:rPr>
        <w:t xml:space="preserve"> Проводя сравнение с результатами опроса прошлого года</w:t>
      </w:r>
      <w:r w:rsidR="00876822" w:rsidRPr="00876822">
        <w:rPr>
          <w:rFonts w:ascii="Times New Roman" w:hAnsi="Times New Roman" w:cs="Times New Roman"/>
          <w:sz w:val="28"/>
          <w:szCs w:val="28"/>
        </w:rPr>
        <w:t xml:space="preserve"> </w:t>
      </w:r>
      <w:r w:rsidR="00A560EA">
        <w:rPr>
          <w:rFonts w:ascii="Times New Roman" w:hAnsi="Times New Roman" w:cs="Times New Roman"/>
          <w:sz w:val="28"/>
          <w:szCs w:val="28"/>
        </w:rPr>
        <w:t>(</w:t>
      </w:r>
      <w:r w:rsidR="00876822" w:rsidRPr="00876822">
        <w:rPr>
          <w:rFonts w:ascii="Times New Roman" w:hAnsi="Times New Roman" w:cs="Times New Roman"/>
          <w:sz w:val="28"/>
          <w:szCs w:val="28"/>
        </w:rPr>
        <w:t>с 17 по 20 октября 2014 года</w:t>
      </w:r>
      <w:r w:rsidR="00A560EA">
        <w:rPr>
          <w:rFonts w:ascii="Times New Roman" w:hAnsi="Times New Roman" w:cs="Times New Roman"/>
          <w:sz w:val="28"/>
          <w:szCs w:val="28"/>
        </w:rPr>
        <w:t>)</w:t>
      </w:r>
      <w:r w:rsidR="00876822" w:rsidRPr="00876822">
        <w:rPr>
          <w:rFonts w:ascii="Times New Roman" w:hAnsi="Times New Roman" w:cs="Times New Roman"/>
          <w:sz w:val="28"/>
          <w:szCs w:val="28"/>
        </w:rPr>
        <w:t xml:space="preserve">, лишь 56% респондентов были осведомлены о принятом Законе. </w:t>
      </w:r>
    </w:p>
    <w:p w:rsidR="00A560EA" w:rsidRDefault="00A560EA" w:rsidP="00A5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A">
        <w:rPr>
          <w:rFonts w:ascii="Times New Roman" w:hAnsi="Times New Roman" w:cs="Times New Roman"/>
          <w:sz w:val="28"/>
          <w:szCs w:val="28"/>
        </w:rPr>
        <w:t xml:space="preserve">При оценке удовлетворенности респондентов размером взноса за капитальный ремонт, можно отметить, что большинство опрошенных – 55,3% сумму взноса считают приемлемой. 33,3% считают высоким, а остальные 11,3% опрошенных высказались в пользу увеличения минимальной ставки. </w:t>
      </w:r>
    </w:p>
    <w:p w:rsidR="00A560EA" w:rsidRPr="00A560EA" w:rsidRDefault="00062B25" w:rsidP="0006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B2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1BA0DCE" wp14:editId="39B08E26">
            <wp:simplePos x="0" y="0"/>
            <wp:positionH relativeFrom="column">
              <wp:posOffset>0</wp:posOffset>
            </wp:positionH>
            <wp:positionV relativeFrom="paragraph">
              <wp:posOffset>685165</wp:posOffset>
            </wp:positionV>
            <wp:extent cx="5940425" cy="2738120"/>
            <wp:effectExtent l="0" t="0" r="3175" b="5080"/>
            <wp:wrapThrough wrapText="bothSides">
              <wp:wrapPolygon edited="0">
                <wp:start x="0" y="0"/>
                <wp:lineTo x="0" y="21490"/>
                <wp:lineTo x="21542" y="21490"/>
                <wp:lineTo x="21542" y="0"/>
                <wp:lineTo x="0" y="0"/>
              </wp:wrapPolygon>
            </wp:wrapThrough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A560EA" w:rsidRPr="00A560EA">
        <w:rPr>
          <w:rFonts w:ascii="Times New Roman" w:hAnsi="Times New Roman" w:cs="Times New Roman"/>
          <w:sz w:val="28"/>
          <w:szCs w:val="28"/>
        </w:rPr>
        <w:t>По результатам прошлого опроса, 67% респондентов сочли сумму взноса на проведение капитального ремонта вполне соразмерной их личному бюджету.</w:t>
      </w:r>
    </w:p>
    <w:p w:rsidR="001A0A84" w:rsidRPr="00062B25" w:rsidRDefault="00062B25" w:rsidP="0006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B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F5B0013" wp14:editId="511EADCC">
            <wp:simplePos x="0" y="0"/>
            <wp:positionH relativeFrom="column">
              <wp:posOffset>-3810</wp:posOffset>
            </wp:positionH>
            <wp:positionV relativeFrom="paragraph">
              <wp:posOffset>3810000</wp:posOffset>
            </wp:positionV>
            <wp:extent cx="5940425" cy="3663315"/>
            <wp:effectExtent l="0" t="0" r="3175" b="13335"/>
            <wp:wrapThrough wrapText="bothSides">
              <wp:wrapPolygon edited="0">
                <wp:start x="0" y="0"/>
                <wp:lineTo x="0" y="21566"/>
                <wp:lineTo x="21542" y="21566"/>
                <wp:lineTo x="21542" y="0"/>
                <wp:lineTo x="0" y="0"/>
              </wp:wrapPolygon>
            </wp:wrapThrough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A560EA" w:rsidRPr="00A560EA">
        <w:rPr>
          <w:rFonts w:ascii="Times New Roman" w:hAnsi="Times New Roman" w:cs="Times New Roman"/>
          <w:sz w:val="28"/>
          <w:szCs w:val="28"/>
        </w:rPr>
        <w:t>Совсем небольшой процент респондентов положительно отнеслись к возможности расширить обязательный перечень работ за дополнительную плату – 27%, когда 73% негативно оценивают дополнительные взносы.</w:t>
      </w:r>
      <w:r w:rsidR="001A0A84">
        <w:rPr>
          <w:rFonts w:ascii="Times New Roman" w:hAnsi="Times New Roman" w:cs="Times New Roman"/>
          <w:sz w:val="28"/>
          <w:szCs w:val="28"/>
        </w:rPr>
        <w:t xml:space="preserve"> Стоит отметить, что д</w:t>
      </w:r>
      <w:r w:rsidR="001A0A84" w:rsidRPr="001A0A84">
        <w:rPr>
          <w:rFonts w:ascii="Times New Roman" w:hAnsi="Times New Roman" w:cs="Times New Roman"/>
          <w:sz w:val="28"/>
          <w:szCs w:val="28"/>
        </w:rPr>
        <w:t>анный вопрос в опросе 2014 года респондентам не задавался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0A84" w:rsidRPr="001A0A84" w:rsidRDefault="001A0A84" w:rsidP="001A0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84">
        <w:rPr>
          <w:rFonts w:ascii="Times New Roman" w:hAnsi="Times New Roman" w:cs="Times New Roman"/>
          <w:sz w:val="28"/>
          <w:szCs w:val="28"/>
        </w:rPr>
        <w:t>В перечне дополнительных работ респонденты отдавали предпочтение ремонту или замене инженерных коммуникаций, нежели другим видам капремонта. В прошлом году, опрашиваемые отдали предпочтение ремонту кровли - 25%, утеплению фасада - 20%, установке общедомовых счетчиков - 19% и ремонту лифтов 16%.</w:t>
      </w:r>
    </w:p>
    <w:p w:rsidR="001A0A84" w:rsidRDefault="00062B25" w:rsidP="00062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2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26BCAEF0" wp14:editId="2F8FF319">
            <wp:simplePos x="0" y="0"/>
            <wp:positionH relativeFrom="column">
              <wp:posOffset>-165735</wp:posOffset>
            </wp:positionH>
            <wp:positionV relativeFrom="paragraph">
              <wp:posOffset>0</wp:posOffset>
            </wp:positionV>
            <wp:extent cx="5940425" cy="3829050"/>
            <wp:effectExtent l="0" t="0" r="3175" b="0"/>
            <wp:wrapThrough wrapText="bothSides">
              <wp:wrapPolygon edited="0">
                <wp:start x="0" y="0"/>
                <wp:lineTo x="0" y="21493"/>
                <wp:lineTo x="21542" y="21493"/>
                <wp:lineTo x="21542" y="0"/>
                <wp:lineTo x="0" y="0"/>
              </wp:wrapPolygon>
            </wp:wrapThrough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:rsidR="001A0A84" w:rsidRDefault="00062B25" w:rsidP="0006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B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152ABA6" wp14:editId="6B8FD2EC">
            <wp:simplePos x="0" y="0"/>
            <wp:positionH relativeFrom="column">
              <wp:posOffset>481965</wp:posOffset>
            </wp:positionH>
            <wp:positionV relativeFrom="paragraph">
              <wp:posOffset>951230</wp:posOffset>
            </wp:positionV>
            <wp:extent cx="5292725" cy="3477895"/>
            <wp:effectExtent l="0" t="0" r="3175" b="8255"/>
            <wp:wrapThrough wrapText="bothSides">
              <wp:wrapPolygon edited="0">
                <wp:start x="0" y="0"/>
                <wp:lineTo x="0" y="21533"/>
                <wp:lineTo x="21535" y="21533"/>
                <wp:lineTo x="21535" y="0"/>
                <wp:lineTo x="0" y="0"/>
              </wp:wrapPolygon>
            </wp:wrapThrough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A84" w:rsidRPr="001A0A84">
        <w:rPr>
          <w:rFonts w:ascii="Times New Roman" w:hAnsi="Times New Roman" w:cs="Times New Roman"/>
          <w:sz w:val="28"/>
          <w:szCs w:val="28"/>
        </w:rPr>
        <w:t xml:space="preserve">64% опрошенных положительно оценили качество и срок проведенного ремонта, другие </w:t>
      </w:r>
      <w:r w:rsidR="001A0A84">
        <w:rPr>
          <w:rFonts w:ascii="Times New Roman" w:hAnsi="Times New Roman" w:cs="Times New Roman"/>
          <w:sz w:val="28"/>
          <w:szCs w:val="28"/>
        </w:rPr>
        <w:t xml:space="preserve">36% остались не удовлетворены. </w:t>
      </w:r>
      <w:r w:rsidR="001A0A84" w:rsidRPr="001A0A84">
        <w:rPr>
          <w:rFonts w:ascii="Times New Roman" w:hAnsi="Times New Roman" w:cs="Times New Roman"/>
          <w:sz w:val="28"/>
          <w:szCs w:val="28"/>
        </w:rPr>
        <w:t>По результатам опроса 2014 года, 62% опрашиваемых были удовлетворены качеством и сроками проведения работ.</w:t>
      </w:r>
    </w:p>
    <w:p w:rsidR="001A0A84" w:rsidRDefault="001A0A84" w:rsidP="001A0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84">
        <w:rPr>
          <w:rFonts w:ascii="Times New Roman" w:hAnsi="Times New Roman" w:cs="Times New Roman"/>
          <w:sz w:val="28"/>
          <w:szCs w:val="28"/>
        </w:rPr>
        <w:t xml:space="preserve">Учитывая результаты реализации системы капремонта, 65% респондентов отметили, что их отношение к Программе изменилось в </w:t>
      </w:r>
      <w:r w:rsidRPr="001A0A84">
        <w:rPr>
          <w:rFonts w:ascii="Times New Roman" w:hAnsi="Times New Roman" w:cs="Times New Roman"/>
          <w:sz w:val="28"/>
          <w:szCs w:val="28"/>
        </w:rPr>
        <w:lastRenderedPageBreak/>
        <w:t xml:space="preserve">лучшую сторону. 15% затруднились ответить на этот вопрос, и у 20% опрошенных отношение не изменилось. </w:t>
      </w:r>
    </w:p>
    <w:p w:rsidR="001A0A84" w:rsidRPr="001A0A84" w:rsidRDefault="001A0A84" w:rsidP="001A0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84">
        <w:rPr>
          <w:rFonts w:ascii="Times New Roman" w:hAnsi="Times New Roman" w:cs="Times New Roman"/>
          <w:sz w:val="28"/>
          <w:szCs w:val="28"/>
        </w:rPr>
        <w:t>По результатам опроса 2014 года, 55% опрошенных ответили, что отношение изменилось в лучшую сторону, у 27% отношение не изменилось, 18% не определились.</w:t>
      </w:r>
    </w:p>
    <w:p w:rsidR="001A0A84" w:rsidRDefault="00062B25" w:rsidP="00876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B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0</wp:posOffset>
            </wp:positionV>
            <wp:extent cx="5940425" cy="2994025"/>
            <wp:effectExtent l="0" t="0" r="3175" b="15875"/>
            <wp:wrapThrough wrapText="bothSides">
              <wp:wrapPolygon edited="0">
                <wp:start x="0" y="0"/>
                <wp:lineTo x="0" y="21577"/>
                <wp:lineTo x="21542" y="21577"/>
                <wp:lineTo x="21542" y="0"/>
                <wp:lineTo x="0" y="0"/>
              </wp:wrapPolygon>
            </wp:wrapThrough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1A0A84" w:rsidRDefault="001A0A84" w:rsidP="001A0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</w:t>
      </w:r>
      <w:r w:rsidRPr="001A0A84">
        <w:rPr>
          <w:rFonts w:ascii="Times New Roman" w:hAnsi="Times New Roman" w:cs="Times New Roman"/>
          <w:sz w:val="28"/>
          <w:szCs w:val="28"/>
        </w:rPr>
        <w:t xml:space="preserve">прос показал, что основную часть информации о Программе капитального ремонта многоквартирных домов респонденты получают из ТВ, газет и журналов. </w:t>
      </w:r>
    </w:p>
    <w:p w:rsidR="001A0A84" w:rsidRDefault="00062B25" w:rsidP="0006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B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53A3003C" wp14:editId="2F4CE9EB">
            <wp:simplePos x="0" y="0"/>
            <wp:positionH relativeFrom="column">
              <wp:posOffset>-346710</wp:posOffset>
            </wp:positionH>
            <wp:positionV relativeFrom="paragraph">
              <wp:posOffset>697865</wp:posOffset>
            </wp:positionV>
            <wp:extent cx="6467475" cy="2832735"/>
            <wp:effectExtent l="0" t="0" r="9525" b="5715"/>
            <wp:wrapThrough wrapText="bothSides">
              <wp:wrapPolygon edited="0">
                <wp:start x="0" y="0"/>
                <wp:lineTo x="0" y="21498"/>
                <wp:lineTo x="21568" y="21498"/>
                <wp:lineTo x="21568" y="0"/>
                <wp:lineTo x="0" y="0"/>
              </wp:wrapPolygon>
            </wp:wrapThrough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</wp:anchor>
        </w:drawing>
      </w:r>
      <w:r w:rsidR="001A0A84" w:rsidRPr="001A0A84">
        <w:rPr>
          <w:rFonts w:ascii="Times New Roman" w:hAnsi="Times New Roman" w:cs="Times New Roman"/>
          <w:sz w:val="28"/>
          <w:szCs w:val="28"/>
        </w:rPr>
        <w:t>По результатам опроса, проведенного в прошлом году, 22% опрошенных жителей получают информацию о Программе капитального ремонта по телевидению и из интернета и 17% – из га</w:t>
      </w:r>
      <w:r w:rsidR="00C96441">
        <w:rPr>
          <w:rFonts w:ascii="Times New Roman" w:hAnsi="Times New Roman" w:cs="Times New Roman"/>
          <w:sz w:val="28"/>
          <w:szCs w:val="28"/>
        </w:rPr>
        <w:t>зет и журналов.</w:t>
      </w:r>
    </w:p>
    <w:p w:rsidR="001A0A84" w:rsidRPr="001A0A84" w:rsidRDefault="001A0A84" w:rsidP="00876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всего л</w:t>
      </w:r>
      <w:r w:rsidRPr="001A0A84">
        <w:rPr>
          <w:rFonts w:ascii="Times New Roman" w:hAnsi="Times New Roman" w:cs="Times New Roman"/>
          <w:sz w:val="28"/>
          <w:szCs w:val="28"/>
        </w:rPr>
        <w:t>ишь 2% опрошенных подтвердили свое участие в приемке выполненных работ по капитальному ремонту.</w:t>
      </w:r>
    </w:p>
    <w:sectPr w:rsidR="001A0A84" w:rsidRPr="001A0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22"/>
    <w:rsid w:val="00000B1C"/>
    <w:rsid w:val="00062B25"/>
    <w:rsid w:val="00182D5B"/>
    <w:rsid w:val="001A0A84"/>
    <w:rsid w:val="005B2DAF"/>
    <w:rsid w:val="00876822"/>
    <w:rsid w:val="00A560EA"/>
    <w:rsid w:val="00BA208A"/>
    <w:rsid w:val="00C96441"/>
    <w:rsid w:val="00EA6ECA"/>
    <w:rsid w:val="00F9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Диаграмма-1</c:v>
                </c:pt>
              </c:strCache>
            </c:strRef>
          </c:tx>
          <c:explosion val="13"/>
          <c:dPt>
            <c:idx val="0"/>
            <c:bubble3D val="0"/>
            <c:explosion val="0"/>
            <c:spPr>
              <a:gradFill rotWithShape="1">
                <a:gsLst>
                  <a:gs pos="0">
                    <a:schemeClr val="accent6">
                      <a:shade val="76000"/>
                      <a:shade val="51000"/>
                      <a:satMod val="130000"/>
                    </a:schemeClr>
                  </a:gs>
                  <a:gs pos="80000">
                    <a:schemeClr val="accent6">
                      <a:shade val="76000"/>
                      <a:shade val="93000"/>
                      <a:satMod val="130000"/>
                    </a:schemeClr>
                  </a:gs>
                  <a:gs pos="100000">
                    <a:schemeClr val="accent6">
                      <a:shade val="76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explosion val="0"/>
            <c:spPr>
              <a:gradFill rotWithShape="1">
                <a:gsLst>
                  <a:gs pos="0">
                    <a:schemeClr val="accent6">
                      <a:tint val="77000"/>
                      <a:shade val="51000"/>
                      <a:satMod val="130000"/>
                    </a:schemeClr>
                  </a:gs>
                  <a:gs pos="80000">
                    <a:schemeClr val="accent6">
                      <a:tint val="77000"/>
                      <a:shade val="93000"/>
                      <a:satMod val="130000"/>
                    </a:schemeClr>
                  </a:gs>
                  <a:gs pos="100000">
                    <a:schemeClr val="accent6">
                      <a:tint val="77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-0.18359580416990703"/>
                  <c:y val="-0.1352318878149341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2253658869707641"/>
                  <c:y val="0.1247683940783033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/>
                    </a:solidFill>
                    <a:effectLst>
                      <a:outerShdw blurRad="38100" dist="38100" dir="2700000" algn="tl">
                        <a:srgbClr val="000000">
                          <a:alpha val="43137"/>
                        </a:srgbClr>
                      </a:outerShdw>
                    </a:effectLst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0.71499999999999997</c:v>
                </c:pt>
                <c:pt idx="1">
                  <c:v>0.28499999999999998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0084727688986934"/>
          <c:y val="0.37502715567281225"/>
          <c:w val="0.14838567044137957"/>
          <c:h val="0.161106851736769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lang="ru-RU" sz="1600" b="1" i="0" u="none" strike="noStrike" kern="1200" baseline="0">
              <a:solidFill>
                <a:schemeClr val="tx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Ответы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ctr">
                  <a:defRPr lang="ru-RU" sz="1600" b="1" i="0" u="none" strike="noStrike" kern="1200" baseline="0">
                    <a:solidFill>
                      <a:schemeClr val="tx1"/>
                    </a:solidFill>
                    <a:effectLst>
                      <a:outerShdw blurRad="38100" dist="38100" dir="2700000" algn="tl">
                        <a:srgbClr val="000000">
                          <a:alpha val="43137"/>
                        </a:srgbClr>
                      </a:outerShdw>
                    </a:effectLst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Можно увеличить</c:v>
                </c:pt>
                <c:pt idx="1">
                  <c:v>Считаю достаточным</c:v>
                </c:pt>
                <c:pt idx="2">
                  <c:v>Счтаю высоким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11.3</c:v>
                </c:pt>
                <c:pt idx="1">
                  <c:v>55.3</c:v>
                </c:pt>
                <c:pt idx="2">
                  <c:v>33.4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6307330675773692"/>
          <c:y val="0.20039848567786586"/>
          <c:w val="0.43692669324226319"/>
          <c:h val="0.59920302864426822"/>
        </c:manualLayout>
      </c:layout>
      <c:overlay val="0"/>
      <c:txPr>
        <a:bodyPr/>
        <a:lstStyle/>
        <a:p>
          <a:pPr algn="ctr">
            <a:defRPr lang="ru-RU" sz="1600" b="1" i="0" u="none" strike="noStrike" kern="1200" baseline="0">
              <a:solidFill>
                <a:schemeClr val="tx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%">
                  <c:v>0.27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1">
                  <c:v>0.73000000000000009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624128"/>
        <c:axId val="190625664"/>
      </c:barChart>
      <c:catAx>
        <c:axId val="1906241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0625664"/>
        <c:crosses val="autoZero"/>
        <c:auto val="1"/>
        <c:lblAlgn val="ctr"/>
        <c:lblOffset val="100"/>
        <c:noMultiLvlLbl val="0"/>
      </c:catAx>
      <c:valAx>
        <c:axId val="1906256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 algn="ctr">
              <a:defRPr/>
            </a:pPr>
            <a:endParaRPr lang="ru-RU"/>
          </a:p>
        </c:txPr>
        <c:crossAx val="19062412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 algn="ctr">
        <a:defRPr lang="ru-RU" sz="1600" b="1" i="0" u="none" strike="noStrike" kern="1200" baseline="0">
          <a:solidFill>
            <a:schemeClr val="tx1"/>
          </a:solidFill>
          <a:effectLst>
            <a:outerShdw blurRad="38100" dist="38100" dir="2700000" algn="tl">
              <a:srgbClr val="000000">
                <a:alpha val="43137"/>
              </a:srgbClr>
            </a:outerShdw>
          </a:effectLst>
          <a:latin typeface="Times New Roman" panose="02020603050405020304" pitchFamily="18" charset="0"/>
          <a:ea typeface="+mn-ea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65E-2"/>
          <c:y val="2.3809523809523812E-2"/>
          <c:w val="0.97453703703703709"/>
          <c:h val="0.771167354080739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Ответы</c:v>
                </c:pt>
              </c:strCache>
            </c:strRef>
          </c:tx>
          <c:explosion val="2"/>
          <c:dPt>
            <c:idx val="2"/>
            <c:bubble3D val="0"/>
            <c:explosion val="0"/>
          </c:dPt>
          <c:dPt>
            <c:idx val="3"/>
            <c:bubble3D val="0"/>
            <c:explosion val="0"/>
          </c:dPt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ctr">
                  <a:defRPr lang="ru-RU" sz="1600" b="1" i="0" u="none" strike="noStrike" kern="1200" baseline="0">
                    <a:solidFill>
                      <a:schemeClr val="tx1"/>
                    </a:solidFill>
                    <a:effectLst>
                      <a:outerShdw blurRad="38100" dist="38100" dir="2700000" algn="tl">
                        <a:srgbClr val="000000">
                          <a:alpha val="43137"/>
                        </a:srgbClr>
                      </a:outerShdw>
                    </a:effectLst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Утепление фасада   21,3%</c:v>
                </c:pt>
                <c:pt idx="1">
                  <c:v>Ремонт кровли  24%</c:v>
                </c:pt>
                <c:pt idx="2">
                  <c:v>ремонт инженерных коммуникаций  33,4%</c:v>
                </c:pt>
                <c:pt idx="3">
                  <c:v>ремонт лифта  21,3%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0.21299999999999999</c:v>
                </c:pt>
                <c:pt idx="1">
                  <c:v>0.24</c:v>
                </c:pt>
                <c:pt idx="2" formatCode="0.00%">
                  <c:v>0.33200000000000002</c:v>
                </c:pt>
                <c:pt idx="3" formatCode="0.00%">
                  <c:v>0.21299999999999999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l"/>
      <c:layout>
        <c:manualLayout>
          <c:xMode val="edge"/>
          <c:yMode val="edge"/>
          <c:x val="0"/>
          <c:y val="0.72800642457006304"/>
          <c:w val="0.71352218065205775"/>
          <c:h val="0.27035531006385394"/>
        </c:manualLayout>
      </c:layout>
      <c:overlay val="0"/>
      <c:txPr>
        <a:bodyPr/>
        <a:lstStyle/>
        <a:p>
          <a:pPr algn="ctr">
            <a:defRPr lang="ru-RU" sz="1600" b="1" i="0" u="none" strike="noStrike" kern="1200" baseline="0">
              <a:solidFill>
                <a:schemeClr val="tx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Ответы</c:v>
                </c:pt>
              </c:strCache>
            </c:strRef>
          </c:tx>
          <c:dLbls>
            <c:dLbl>
              <c:idx val="0"/>
              <c:layout>
                <c:manualLayout>
                  <c:x val="-0.11932457955122104"/>
                  <c:y val="-7.81623579115258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3102842176695081"/>
                  <c:y val="4.8556058459257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ctr">
                  <a:defRPr lang="ru-RU" sz="16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0.64</c:v>
                </c:pt>
                <c:pt idx="1">
                  <c:v>0.36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 algn="ctr">
              <a:defRPr lang="ru-RU" sz="1600" b="1" i="0" u="none" strike="noStrike" kern="1200" baseline="0">
                <a:solidFill>
                  <a:schemeClr val="tx1"/>
                </a:solidFill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 algn="ctr">
              <a:defRPr lang="ru-RU" sz="1600" b="1" i="0" u="none" strike="noStrike" kern="1200" baseline="0">
                <a:solidFill>
                  <a:schemeClr val="tx1"/>
                </a:solidFill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78579805298782768"/>
          <c:y val="0.31847800274965632"/>
          <c:w val="0.13086850346466139"/>
          <c:h val="0.4288364257469758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3427460080193109"/>
          <c:y val="5.0895581902813486E-2"/>
          <c:w val="0.52542318100135932"/>
          <c:h val="0.8577258090694324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да, изменилось в лучшую сторону</c:v>
                </c:pt>
                <c:pt idx="1">
                  <c:v>нет, не изменилось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0.65</c:v>
                </c:pt>
                <c:pt idx="1">
                  <c:v>0.2</c:v>
                </c:pt>
                <c:pt idx="2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1489792"/>
        <c:axId val="112327680"/>
      </c:barChart>
      <c:valAx>
        <c:axId val="112327680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crossAx val="111489792"/>
        <c:crosses val="autoZero"/>
        <c:crossBetween val="between"/>
      </c:valAx>
      <c:catAx>
        <c:axId val="1114897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12327680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txPr>
    <a:bodyPr/>
    <a:lstStyle/>
    <a:p>
      <a:pPr algn="ctr">
        <a:defRPr lang="ru-RU" sz="1600" b="1" i="0" u="none" strike="noStrike" kern="1200" baseline="0">
          <a:solidFill>
            <a:schemeClr val="tx1"/>
          </a:solidFill>
          <a:latin typeface="Times New Roman" panose="02020603050405020304" pitchFamily="18" charset="0"/>
          <a:ea typeface="+mn-ea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Газеты,журналы  19%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ctr">
                  <a:defRPr lang="ru-RU" sz="16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Радио  2%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ctr">
                  <a:defRPr lang="ru-RU" sz="16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Телевидение  33%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ctr">
                  <a:defRPr lang="ru-RU" sz="16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0.33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Интернет  18%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ctr">
                  <a:defRPr lang="ru-RU" sz="16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0.18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Все в совокупности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ctr">
                  <a:defRPr lang="ru-RU" sz="16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0.28000000000000003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305280"/>
        <c:axId val="112306816"/>
      </c:barChart>
      <c:catAx>
        <c:axId val="112305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2306816"/>
        <c:crosses val="autoZero"/>
        <c:auto val="1"/>
        <c:lblAlgn val="ctr"/>
        <c:lblOffset val="100"/>
        <c:noMultiLvlLbl val="0"/>
      </c:catAx>
      <c:valAx>
        <c:axId val="1123068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 algn="ctr">
              <a:defRPr lang="ru-RU" sz="16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2305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445521629383962"/>
          <c:y val="4.2504152347466316E-2"/>
          <c:w val="0.35554478370616049"/>
          <c:h val="0.91895500285060217"/>
        </c:manualLayout>
      </c:layout>
      <c:overlay val="0"/>
      <c:txPr>
        <a:bodyPr/>
        <a:lstStyle/>
        <a:p>
          <a:pPr algn="ctr">
            <a:defRPr lang="ru-RU" sz="16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Подчерняева Анна Васильевна</dc:creator>
  <cp:lastModifiedBy>Белковский А.Н.</cp:lastModifiedBy>
  <cp:revision>2</cp:revision>
  <dcterms:created xsi:type="dcterms:W3CDTF">2015-07-08T10:35:00Z</dcterms:created>
  <dcterms:modified xsi:type="dcterms:W3CDTF">2015-07-08T10:35:00Z</dcterms:modified>
</cp:coreProperties>
</file>