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17" w:rsidRPr="00F2598F" w:rsidRDefault="004A4BE8" w:rsidP="004A4BE8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9A393D" w:rsidRPr="00F2598F" w:rsidRDefault="00805C38" w:rsidP="00805C38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F3F37" w:rsidRPr="00F25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AD" w:rsidRPr="00F2598F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а</w:t>
      </w:r>
    </w:p>
    <w:p w:rsidR="00724C0C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04A0C" w:rsidRPr="00F2598F">
        <w:rPr>
          <w:b/>
          <w:color w:val="auto"/>
        </w:rPr>
        <w:t>Муниципальной услуги</w:t>
      </w:r>
      <w:r w:rsidR="00724C0C" w:rsidRPr="00F2598F">
        <w:rPr>
          <w:b/>
          <w:color w:val="auto"/>
        </w:rPr>
        <w:t xml:space="preserve"> </w:t>
      </w:r>
    </w:p>
    <w:p w:rsidR="00602113" w:rsidRPr="00F2598F" w:rsidRDefault="00724C0C" w:rsidP="00150C9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«Прием в муниципальные образовательные организации</w:t>
      </w:r>
      <w:r w:rsidR="00150C96">
        <w:rPr>
          <w:b/>
          <w:color w:val="auto"/>
        </w:rPr>
        <w:t xml:space="preserve"> городского округа Лотошино </w:t>
      </w:r>
      <w:r w:rsidRPr="00F2598F">
        <w:rPr>
          <w:b/>
          <w:color w:val="auto"/>
        </w:rPr>
        <w:t>Московской области, реализующие дополнительные общеобразовательные программы»</w:t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C00E0" w:rsidRDefault="00FD512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40861748" w:history="1">
            <w:r w:rsidR="005C00E0" w:rsidRPr="00F80BE6">
              <w:rPr>
                <w:rStyle w:val="a6"/>
                <w:noProof/>
              </w:rPr>
              <w:t>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Общие положения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49" w:history="1">
            <w:r w:rsidR="005C00E0" w:rsidRPr="00F80BE6">
              <w:rPr>
                <w:rStyle w:val="a6"/>
              </w:rPr>
              <w:t>1. Предмет регулирования Административного регламента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_Toc40861749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0" w:history="1">
            <w:r w:rsidR="005C00E0" w:rsidRPr="00F80BE6">
              <w:rPr>
                <w:rStyle w:val="a6"/>
              </w:rPr>
              <w:t>2.</w:t>
            </w:r>
            <w:r w:rsidR="006D404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ru-RU"/>
              </w:rPr>
              <w:t xml:space="preserve"> </w:t>
            </w:r>
            <w:r w:rsidR="005C00E0" w:rsidRPr="00F80BE6">
              <w:rPr>
                <w:rStyle w:val="a6"/>
              </w:rPr>
              <w:t>Круг Заявителей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1" w:history="1">
            <w:r w:rsidR="005C00E0" w:rsidRPr="00F80BE6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5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52" w:history="1">
            <w:r w:rsidR="005C00E0" w:rsidRPr="00F80BE6">
              <w:rPr>
                <w:rStyle w:val="a6"/>
                <w:noProof/>
              </w:rPr>
              <w:t>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Стандарт предоставления Муниципальной услуги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_Toc40861752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3" w:history="1">
            <w:r w:rsidR="005C00E0" w:rsidRPr="00F80BE6">
              <w:rPr>
                <w:rStyle w:val="a6"/>
              </w:rPr>
              <w:t>4. Наименование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4" w:history="1">
            <w:r w:rsidR="005C00E0" w:rsidRPr="00F80BE6">
              <w:rPr>
                <w:rStyle w:val="a6"/>
              </w:rPr>
              <w:t>5. Наименование органа, предоставляющего Муниципальную услугу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5" w:history="1">
            <w:r w:rsidR="005C00E0" w:rsidRPr="00F80BE6">
              <w:rPr>
                <w:rStyle w:val="a6"/>
              </w:rPr>
              <w:t>6. Результат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6" w:history="1">
            <w:r w:rsidR="005C00E0" w:rsidRPr="00F80BE6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7" w:history="1">
            <w:r w:rsidR="005C00E0" w:rsidRPr="00F80BE6">
              <w:rPr>
                <w:rStyle w:val="a6"/>
              </w:rPr>
              <w:t>8. Срок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8" w:history="1">
            <w:r w:rsidR="005C00E0" w:rsidRPr="00F80BE6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9" w:history="1">
            <w:r w:rsidR="005C00E0" w:rsidRPr="00F80BE6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0" w:history="1">
            <w:r w:rsidR="005C00E0" w:rsidRPr="00F80BE6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1" w:history="1">
            <w:r w:rsidR="005C00E0" w:rsidRPr="00F80BE6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2" w:history="1">
            <w:r w:rsidR="005C00E0" w:rsidRPr="00F80BE6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3" w:history="1">
            <w:r w:rsidR="005C00E0" w:rsidRPr="00F80BE6">
              <w:rPr>
                <w:rStyle w:val="a6"/>
              </w:rPr>
              <w:t>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4" w:history="1">
            <w:r w:rsidR="005C00E0" w:rsidRPr="00F80BE6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5" w:history="1">
            <w:r w:rsidR="005C00E0" w:rsidRPr="00F80BE6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6" w:history="1">
            <w:r w:rsidR="005C00E0" w:rsidRPr="00F80BE6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7" w:history="1">
            <w:r w:rsidR="005C00E0" w:rsidRPr="00F80BE6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15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8" w:history="1">
            <w:r w:rsidR="005C00E0" w:rsidRPr="00F80BE6">
              <w:rPr>
                <w:rStyle w:val="a6"/>
              </w:rPr>
              <w:t>18. Максимальный срок ожидания в очереди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9" w:history="1">
            <w:r w:rsidR="005C00E0" w:rsidRPr="00F80BE6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0" w:history="1">
            <w:r w:rsidR="005C00E0" w:rsidRPr="00F80BE6">
              <w:rPr>
                <w:rStyle w:val="a6"/>
              </w:rPr>
              <w:t>20. Показатели доступности и качества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1" w:history="1">
            <w:r w:rsidR="005C00E0" w:rsidRPr="00F80BE6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2" w:history="1">
            <w:r w:rsidR="005C00E0" w:rsidRPr="00F80BE6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19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3" w:history="1">
            <w:r w:rsidR="005C00E0" w:rsidRPr="00F80BE6">
              <w:rPr>
                <w:rStyle w:val="a6"/>
                <w:noProof/>
              </w:rPr>
              <w:t>III.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20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4" w:history="1">
            <w:r w:rsidR="005C00E0" w:rsidRPr="00F80BE6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5" w:history="1">
            <w:r w:rsidR="005C00E0" w:rsidRPr="00F80BE6">
              <w:rPr>
                <w:rStyle w:val="a6"/>
                <w:noProof/>
              </w:rPr>
              <w:t>IV.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20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6" w:history="1">
            <w:r w:rsidR="005C00E0" w:rsidRPr="00F80BE6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7" w:history="1">
            <w:r w:rsidR="005C00E0" w:rsidRPr="00F80BE6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8" w:history="1">
            <w:r w:rsidR="005C00E0" w:rsidRPr="00F80BE6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9" w:history="1">
            <w:r w:rsidR="005C00E0" w:rsidRPr="00F80BE6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0" w:history="1">
            <w:r w:rsidR="005C00E0" w:rsidRPr="00F80BE6">
              <w:rPr>
                <w:rStyle w:val="a6"/>
                <w:noProof/>
              </w:rPr>
              <w:t>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_Toc40861780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22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1" w:history="1">
            <w:r w:rsidR="005C00E0" w:rsidRPr="00F80BE6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5C00E0" w:rsidRPr="00F80BE6">
              <w:rPr>
                <w:rStyle w:val="a6"/>
                <w:lang w:eastAsia="ar-SA"/>
              </w:rPr>
              <w:t>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2" w:history="1">
            <w:r w:rsidR="005C00E0" w:rsidRPr="00F80BE6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3" w:history="1">
            <w:r w:rsidR="005C00E0" w:rsidRPr="00F80BE6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5C00E0">
              <w:rPr>
                <w:rStyle w:val="a6"/>
              </w:rPr>
              <w:t>…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4" w:history="1">
            <w:r w:rsidR="005C00E0" w:rsidRPr="00F80BE6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5" w:history="1">
            <w:r w:rsidR="005C00E0" w:rsidRPr="00F80BE6">
              <w:rPr>
                <w:rStyle w:val="a6"/>
                <w:noProof/>
              </w:rPr>
              <w:t>Приложение 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28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6" w:history="1">
            <w:r w:rsidR="005C00E0" w:rsidRPr="00F80BE6">
              <w:rPr>
                <w:rStyle w:val="a6"/>
              </w:rPr>
              <w:t>Форма выписки из Приказа о зачислении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7" w:history="1">
            <w:r w:rsidR="005C00E0" w:rsidRPr="00F80BE6">
              <w:rPr>
                <w:rStyle w:val="a6"/>
                <w:noProof/>
              </w:rPr>
              <w:t>Приложение 2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29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8" w:history="1">
            <w:r w:rsidR="005C00E0" w:rsidRPr="00F80BE6">
              <w:rPr>
                <w:rStyle w:val="a6"/>
              </w:rPr>
              <w:t>Форма решения об отказе 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29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9" w:history="1">
            <w:r w:rsidR="005C00E0" w:rsidRPr="00F80BE6">
              <w:rPr>
                <w:rStyle w:val="a6"/>
                <w:noProof/>
              </w:rPr>
              <w:t>Приложение 3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32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0" w:history="1">
            <w:r w:rsidR="005C00E0" w:rsidRPr="00F80BE6">
              <w:rPr>
                <w:rStyle w:val="a6"/>
              </w:rPr>
              <w:t>Перечень нормативных правовых актов,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1" w:history="1">
            <w:r w:rsidR="005C00E0" w:rsidRPr="00F80BE6">
              <w:rPr>
                <w:rStyle w:val="a6"/>
              </w:rPr>
              <w:t>регулирующих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2" w:history="1">
            <w:r w:rsidR="005C00E0" w:rsidRPr="00F80BE6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3" w:history="1">
            <w:r w:rsidR="005C00E0" w:rsidRPr="00F80BE6">
              <w:rPr>
                <w:rStyle w:val="a6"/>
                <w:noProof/>
              </w:rPr>
              <w:t>Приложение 4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34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4" w:history="1">
            <w:r w:rsidR="005C00E0" w:rsidRPr="00F80BE6">
              <w:rPr>
                <w:rStyle w:val="a6"/>
              </w:rPr>
              <w:t>Форма Запроса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34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5" w:history="1">
            <w:r w:rsidR="005C00E0" w:rsidRPr="00F80BE6">
              <w:rPr>
                <w:rStyle w:val="a6"/>
                <w:noProof/>
              </w:rPr>
              <w:t>Приложение 5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36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6" w:history="1">
            <w:r w:rsidR="005C00E0" w:rsidRPr="00F80BE6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36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7" w:history="1">
            <w:r w:rsidR="005C00E0" w:rsidRPr="00F80BE6">
              <w:rPr>
                <w:rStyle w:val="a6"/>
                <w:noProof/>
              </w:rPr>
              <w:t>Приложение 6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46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8" w:history="1">
            <w:r w:rsidR="005C00E0" w:rsidRPr="00F80BE6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46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9" w:history="1">
            <w:r w:rsidR="005C00E0" w:rsidRPr="00F80BE6">
              <w:rPr>
                <w:rStyle w:val="a6"/>
                <w:noProof/>
              </w:rPr>
              <w:t>Приложение 7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48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0" w:history="1">
            <w:r w:rsidR="005C00E0" w:rsidRPr="00F80BE6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48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1" w:history="1">
            <w:r w:rsidR="005C00E0" w:rsidRPr="00F80BE6">
              <w:rPr>
                <w:rStyle w:val="a6"/>
                <w:noProof/>
              </w:rPr>
              <w:t>Приложение 8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_Toc40861801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49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2" w:history="1">
            <w:r w:rsidR="005C00E0" w:rsidRPr="00F80BE6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49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3" w:history="1">
            <w:r w:rsidR="005C00E0" w:rsidRPr="00F80BE6">
              <w:rPr>
                <w:rStyle w:val="a6"/>
                <w:noProof/>
              </w:rPr>
              <w:t>Приложение 9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50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4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50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6" w:history="1">
            <w:r w:rsidR="005C00E0" w:rsidRPr="00F80BE6">
              <w:rPr>
                <w:rStyle w:val="a6"/>
                <w:noProof/>
              </w:rPr>
              <w:t>Приложение 10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_Toc40861806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57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7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57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94269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8" w:history="1">
            <w:r w:rsidR="005C00E0" w:rsidRPr="00F80BE6">
              <w:rPr>
                <w:rStyle w:val="a6"/>
                <w:noProof/>
              </w:rPr>
              <w:t>Приложение 11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_Toc40861808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605244">
              <w:rPr>
                <w:noProof/>
                <w:webHidden/>
              </w:rPr>
              <w:t>62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94269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9" w:history="1">
            <w:r w:rsidR="005C00E0" w:rsidRPr="00F80BE6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605244">
              <w:rPr>
                <w:webHidden/>
              </w:rPr>
              <w:t>62</w:t>
            </w:r>
            <w:r w:rsidR="00FD5121">
              <w:rPr>
                <w:webHidden/>
              </w:rPr>
              <w:fldChar w:fldCharType="end"/>
            </w:r>
          </w:hyperlink>
        </w:p>
        <w:p w:rsidR="00273855" w:rsidRDefault="00FD5121" w:rsidP="002C541E">
          <w:pPr>
            <w:pStyle w:val="1f2"/>
            <w:sectPr w:rsidR="00273855" w:rsidSect="00E342AB">
              <w:headerReference w:type="default" r:id="rId9"/>
              <w:footerReference w:type="default" r:id="rId10"/>
              <w:pgSz w:w="11906" w:h="16838" w:code="9"/>
              <w:pgMar w:top="709" w:right="566" w:bottom="851" w:left="1134" w:header="720" w:footer="720" w:gutter="0"/>
              <w:cols w:space="720"/>
              <w:noEndnote/>
              <w:docGrid w:linePitch="299"/>
            </w:sectPr>
          </w:pPr>
          <w:r w:rsidRPr="00173942">
            <w:fldChar w:fldCharType="end"/>
          </w:r>
        </w:p>
        <w:p w:rsidR="00285E39" w:rsidRDefault="00942691" w:rsidP="002C541E">
          <w:pPr>
            <w:pStyle w:val="1f2"/>
          </w:pPr>
        </w:p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2" w:name="_Toc28377931"/>
      <w:bookmarkStart w:id="3" w:name="_Toc40861748"/>
      <w:r w:rsidRPr="00F2598F">
        <w:rPr>
          <w:iCs w:val="0"/>
        </w:rPr>
        <w:t>Общие положения</w:t>
      </w:r>
      <w:bookmarkEnd w:id="1"/>
      <w:bookmarkEnd w:id="2"/>
      <w:bookmarkEnd w:id="3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4"/>
      <w:bookmarkEnd w:id="5"/>
      <w:bookmarkEnd w:id="6"/>
      <w:bookmarkEnd w:id="7"/>
      <w:bookmarkEnd w:id="8"/>
      <w:bookmarkEnd w:id="9"/>
    </w:p>
    <w:p w:rsidR="008077E4" w:rsidRPr="00F2598F" w:rsidRDefault="008077E4" w:rsidP="007050A0">
      <w:pPr>
        <w:pStyle w:val="2-"/>
      </w:pPr>
    </w:p>
    <w:p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602113" w:rsidRPr="004C7E39">
        <w:rPr>
          <w:sz w:val="24"/>
          <w:szCs w:val="24"/>
        </w:rPr>
        <w:t>муниципальной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>организациями, осуществляющими образовательную деятельность в Московской области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4C7E39" w:rsidRDefault="00A61301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>ьных услуг в Московской области, формы 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за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E3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 xml:space="preserve">, </w:t>
      </w:r>
      <w:r w:rsidR="006E1D97" w:rsidRPr="004C7E39">
        <w:rPr>
          <w:sz w:val="24"/>
          <w:szCs w:val="24"/>
        </w:rPr>
        <w:t>многофункциональных центров предоставления государственных</w:t>
      </w:r>
      <w:r w:rsidR="00EB4CBA">
        <w:rPr>
          <w:sz w:val="24"/>
          <w:szCs w:val="24"/>
        </w:rPr>
        <w:t xml:space="preserve"> </w:t>
      </w:r>
      <w:r w:rsidR="006E1D97" w:rsidRPr="004C7E39">
        <w:rPr>
          <w:sz w:val="24"/>
          <w:szCs w:val="24"/>
        </w:rPr>
        <w:t>и муниципальных услуг</w:t>
      </w:r>
      <w:r w:rsidR="00C77AFC" w:rsidRPr="004C7E39">
        <w:rPr>
          <w:sz w:val="24"/>
          <w:szCs w:val="24"/>
        </w:rPr>
        <w:t xml:space="preserve"> (далее – МФЦ)</w:t>
      </w:r>
      <w:r w:rsidR="006E1D97" w:rsidRPr="004C7E39">
        <w:rPr>
          <w:sz w:val="24"/>
          <w:szCs w:val="24"/>
        </w:rPr>
        <w:t xml:space="preserve">, </w:t>
      </w:r>
      <w:r w:rsidR="003C16F7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 xml:space="preserve"> МФЦ</w:t>
      </w:r>
      <w:r w:rsidR="00962C01" w:rsidRPr="004C7E39">
        <w:rPr>
          <w:sz w:val="24"/>
          <w:szCs w:val="24"/>
        </w:rPr>
        <w:t>.</w:t>
      </w:r>
    </w:p>
    <w:p w:rsidR="00962C01" w:rsidRPr="004C7E39" w:rsidRDefault="001E6FB8" w:rsidP="004C7E39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1A79D0" w:rsidRPr="004C7E39" w:rsidRDefault="00165AB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1.3.1. </w:t>
      </w:r>
      <w:r w:rsidR="000E4CFA" w:rsidRPr="004C7E39">
        <w:rPr>
          <w:sz w:val="24"/>
          <w:szCs w:val="24"/>
        </w:rPr>
        <w:t>ВИС</w:t>
      </w:r>
      <w:r w:rsidR="006345DC" w:rsidRPr="004C7E39">
        <w:rPr>
          <w:sz w:val="24"/>
          <w:szCs w:val="24"/>
        </w:rPr>
        <w:t xml:space="preserve"> – </w:t>
      </w:r>
      <w:r w:rsidR="000E4CFA" w:rsidRPr="004C7E39">
        <w:rPr>
          <w:sz w:val="24"/>
          <w:szCs w:val="24"/>
        </w:rPr>
        <w:t>ведомственная</w:t>
      </w:r>
      <w:r w:rsidR="00782F01" w:rsidRPr="004C7E39">
        <w:rPr>
          <w:sz w:val="24"/>
          <w:szCs w:val="24"/>
        </w:rPr>
        <w:t xml:space="preserve"> информационная система</w:t>
      </w:r>
      <w:r w:rsidR="003C1AC7" w:rsidRPr="004C7E39">
        <w:rPr>
          <w:sz w:val="24"/>
          <w:szCs w:val="24"/>
        </w:rPr>
        <w:t>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2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- </w:t>
      </w:r>
      <w:r w:rsidR="00531F8E" w:rsidRPr="004C7E39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531F8E" w:rsidRPr="004C7E39">
        <w:rPr>
          <w:sz w:val="24"/>
          <w:szCs w:val="24"/>
        </w:rPr>
        <w:t xml:space="preserve">Московской области»,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492121" w:rsidRPr="004C7E39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492121" w:rsidRPr="004C7E39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r w:rsidR="00273E0C" w:rsidRPr="004C7E39">
        <w:rPr>
          <w:sz w:val="24"/>
          <w:szCs w:val="24"/>
        </w:rPr>
        <w:t xml:space="preserve"> </w:t>
      </w:r>
      <w:r w:rsidR="00782F01" w:rsidRPr="004C7E39">
        <w:rPr>
          <w:sz w:val="24"/>
          <w:szCs w:val="24"/>
        </w:rPr>
        <w:t>www.uslugi.mosreg.ru</w:t>
      </w:r>
      <w:r w:rsidRPr="004C7E39">
        <w:rPr>
          <w:sz w:val="24"/>
          <w:szCs w:val="24"/>
        </w:rPr>
        <w:t>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4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>О системе 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E1" w:rsidRPr="0034787E" w:rsidRDefault="00465DFC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t>К</w:t>
      </w:r>
      <w:r w:rsidR="00265944" w:rsidRPr="0034787E">
        <w:t>руг Заявителей</w:t>
      </w:r>
      <w:bookmarkEnd w:id="10"/>
      <w:bookmarkEnd w:id="11"/>
      <w:bookmarkEnd w:id="12"/>
      <w:bookmarkEnd w:id="13"/>
      <w:bookmarkEnd w:id="14"/>
      <w:bookmarkEnd w:id="15"/>
    </w:p>
    <w:p w:rsidR="00F47217" w:rsidRPr="00F2598F" w:rsidRDefault="00F47217" w:rsidP="007050A0">
      <w:pPr>
        <w:pStyle w:val="2-"/>
      </w:pPr>
    </w:p>
    <w:p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7"/>
    </w:p>
    <w:p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050A0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8"/>
      <w:bookmarkEnd w:id="19"/>
      <w:bookmarkEnd w:id="20"/>
    </w:p>
    <w:p w:rsidR="00015700" w:rsidRPr="00F2598F" w:rsidRDefault="00015700" w:rsidP="007050A0">
      <w:pPr>
        <w:pStyle w:val="2-"/>
      </w:pPr>
    </w:p>
    <w:bookmarkEnd w:id="21"/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22EDF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Pr="004C7E39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062B9C" w:rsidRPr="004C7E39">
        <w:rPr>
          <w:sz w:val="24"/>
          <w:szCs w:val="24"/>
        </w:rPr>
        <w:br/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9E41AF">
      <w:pPr>
        <w:pStyle w:val="1-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415A64" w:rsidRPr="00F2598F" w:rsidRDefault="00415A64" w:rsidP="00E2613B">
      <w:pPr>
        <w:pStyle w:val="2-"/>
        <w:widowControl w:val="0"/>
      </w:pPr>
    </w:p>
    <w:bookmarkEnd w:id="28"/>
    <w:p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0E3B75" w:rsidRPr="00F2598F" w:rsidRDefault="00594D42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lastRenderedPageBreak/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5"/>
      <w:bookmarkEnd w:id="36"/>
      <w:bookmarkEnd w:id="37"/>
      <w:r w:rsidR="000C4855" w:rsidRPr="0034787E">
        <w:t>Муниципальную услугу</w:t>
      </w:r>
      <w:bookmarkEnd w:id="38"/>
    </w:p>
    <w:p w:rsidR="004A7247" w:rsidRPr="00F2598F" w:rsidRDefault="004A7247" w:rsidP="007050A0">
      <w:pPr>
        <w:pStyle w:val="2-"/>
      </w:pPr>
    </w:p>
    <w:p w:rsidR="00446263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605244">
        <w:rPr>
          <w:sz w:val="24"/>
          <w:szCs w:val="24"/>
        </w:rPr>
        <w:t xml:space="preserve">Органом, ответственным за предоставление </w:t>
      </w:r>
      <w:r w:rsidR="00F04A0C" w:rsidRPr="00605244">
        <w:rPr>
          <w:sz w:val="24"/>
          <w:szCs w:val="24"/>
        </w:rPr>
        <w:t>Муниципальной услуги</w:t>
      </w:r>
      <w:r w:rsidR="00446263" w:rsidRPr="00605244">
        <w:rPr>
          <w:sz w:val="24"/>
          <w:szCs w:val="24"/>
        </w:rPr>
        <w:t xml:space="preserve">, </w:t>
      </w:r>
      <w:r w:rsidR="008A7ABE" w:rsidRPr="00605244">
        <w:rPr>
          <w:sz w:val="24"/>
          <w:szCs w:val="24"/>
        </w:rPr>
        <w:br/>
      </w:r>
      <w:r w:rsidR="001C0464" w:rsidRPr="00605244">
        <w:rPr>
          <w:sz w:val="24"/>
          <w:szCs w:val="24"/>
        </w:rPr>
        <w:t xml:space="preserve">в </w:t>
      </w:r>
      <w:r w:rsidR="000A52C0" w:rsidRPr="00605244">
        <w:rPr>
          <w:sz w:val="24"/>
          <w:szCs w:val="24"/>
        </w:rPr>
        <w:t>городском округе Лотошино</w:t>
      </w:r>
      <w:r w:rsidR="001C0464" w:rsidRPr="00605244">
        <w:rPr>
          <w:sz w:val="24"/>
          <w:szCs w:val="24"/>
        </w:rPr>
        <w:t xml:space="preserve">, является </w:t>
      </w:r>
      <w:r w:rsidR="00B342CC" w:rsidRPr="00605244">
        <w:rPr>
          <w:sz w:val="24"/>
          <w:szCs w:val="24"/>
        </w:rPr>
        <w:t xml:space="preserve">отдел по образованию </w:t>
      </w:r>
      <w:r w:rsidR="00605244" w:rsidRPr="00605244">
        <w:rPr>
          <w:sz w:val="24"/>
          <w:szCs w:val="24"/>
        </w:rPr>
        <w:t>администрации городского округа Лотошино.</w:t>
      </w:r>
    </w:p>
    <w:p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A540CF" w:rsidRPr="00F2598F">
        <w:rPr>
          <w:sz w:val="24"/>
          <w:szCs w:val="24"/>
        </w:rPr>
        <w:t xml:space="preserve"> </w:t>
      </w:r>
      <w:r w:rsidR="008A7ABE" w:rsidRPr="00F2598F">
        <w:rPr>
          <w:sz w:val="24"/>
          <w:szCs w:val="24"/>
        </w:rPr>
        <w:br/>
      </w:r>
      <w:r w:rsidR="003445B5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5A6172" w:rsidRPr="00F2598F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172632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 с</w:t>
      </w:r>
      <w:r w:rsidR="00172632">
        <w:rPr>
          <w:sz w:val="24"/>
          <w:szCs w:val="24"/>
        </w:rPr>
        <w:t>:</w:t>
      </w:r>
    </w:p>
    <w:p w:rsidR="003367B5" w:rsidRPr="00ED7907" w:rsidRDefault="0017263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5.5.1. </w:t>
      </w:r>
      <w:r w:rsidR="00ED7907">
        <w:rPr>
          <w:sz w:val="24"/>
          <w:szCs w:val="24"/>
        </w:rPr>
        <w:t xml:space="preserve"> </w:t>
      </w:r>
      <w:r w:rsidR="000A52C0" w:rsidRPr="00605244">
        <w:rPr>
          <w:sz w:val="24"/>
          <w:szCs w:val="24"/>
        </w:rPr>
        <w:t>Отдел по образованию администрации городского округа Лотошино</w:t>
      </w:r>
      <w:r w:rsidR="00754196" w:rsidRPr="00605244">
        <w:rPr>
          <w:sz w:val="24"/>
          <w:szCs w:val="24"/>
        </w:rPr>
        <w:t xml:space="preserve"> Московской области</w:t>
      </w:r>
      <w:r w:rsidR="002A40DD" w:rsidRPr="00605244">
        <w:rPr>
          <w:sz w:val="24"/>
          <w:szCs w:val="24"/>
        </w:rPr>
        <w:t>, осуществляющим</w:t>
      </w:r>
      <w:r w:rsidR="00754196" w:rsidRPr="00605244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:rsidR="00F91593" w:rsidRPr="00F2598F" w:rsidRDefault="00F91593" w:rsidP="004C7E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A6" w:rsidRPr="00F2598F" w:rsidRDefault="00D64B21" w:rsidP="007050A0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:rsidR="003367B5" w:rsidRPr="00F2598F" w:rsidRDefault="003367B5" w:rsidP="007050A0">
      <w:pPr>
        <w:pStyle w:val="2-"/>
      </w:pPr>
    </w:p>
    <w:bookmarkEnd w:id="48"/>
    <w:p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 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206CD3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0648C2" w:rsidRPr="00591B13">
        <w:rPr>
          <w:sz w:val="24"/>
          <w:szCs w:val="24"/>
        </w:rPr>
        <w:tab/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F84746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t>– договор</w:t>
      </w:r>
      <w:r w:rsidR="00F84746">
        <w:rPr>
          <w:sz w:val="24"/>
          <w:szCs w:val="24"/>
        </w:rPr>
        <w:t xml:space="preserve"> ДО, договор ПФ</w:t>
      </w:r>
      <w:r>
        <w:rPr>
          <w:sz w:val="24"/>
          <w:szCs w:val="24"/>
        </w:rPr>
        <w:t>).</w:t>
      </w:r>
    </w:p>
    <w:p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</w:t>
      </w:r>
      <w:r w:rsidR="004A1312" w:rsidRPr="00F2598F">
        <w:rPr>
          <w:sz w:val="24"/>
          <w:szCs w:val="24"/>
        </w:rPr>
        <w:lastRenderedPageBreak/>
        <w:t xml:space="preserve">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:rsidR="00DF25F6" w:rsidRPr="004C7E39" w:rsidRDefault="00DF25F6" w:rsidP="004C7E39">
      <w:pPr>
        <w:pStyle w:val="2-"/>
        <w:spacing w:line="276" w:lineRule="auto"/>
      </w:pPr>
    </w:p>
    <w:p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DF25F6" w:rsidRPr="00F2598F" w:rsidRDefault="00DF25F6" w:rsidP="007050A0">
      <w:pPr>
        <w:pStyle w:val="2-"/>
      </w:pPr>
    </w:p>
    <w:bookmarkEnd w:id="65"/>
    <w:p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(Семи)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590AEA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E96E88">
        <w:rPr>
          <w:sz w:val="24"/>
          <w:szCs w:val="24"/>
        </w:rPr>
        <w:t>и спорта</w:t>
      </w:r>
      <w:r w:rsidR="00E30B1D">
        <w:rPr>
          <w:sz w:val="24"/>
          <w:szCs w:val="24"/>
        </w:rPr>
        <w:t xml:space="preserve"> 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2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</w:t>
      </w:r>
      <w:r w:rsidR="007D7130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8.3.</w:t>
      </w:r>
      <w:r w:rsidR="00243FAB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:rsidR="00DF25F6" w:rsidRPr="00F2598F" w:rsidRDefault="00DF25F6" w:rsidP="007050A0">
      <w:pPr>
        <w:pStyle w:val="2-"/>
      </w:pPr>
    </w:p>
    <w:bookmarkEnd w:id="74"/>
    <w:p w:rsidR="001C7683" w:rsidRPr="00F2598F" w:rsidRDefault="776DCF5B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050A0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:rsidR="00A4019C" w:rsidRPr="00F2598F" w:rsidRDefault="00A4019C" w:rsidP="007050A0">
      <w:pPr>
        <w:pStyle w:val="2-"/>
      </w:pPr>
    </w:p>
    <w:bookmarkEnd w:id="86"/>
    <w:p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500A3F" w:rsidRPr="004C7E39" w:rsidRDefault="00E30B1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050A0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A4019C" w:rsidRPr="00F2598F" w:rsidRDefault="00A4019C" w:rsidP="007050A0">
      <w:pPr>
        <w:pStyle w:val="2-"/>
      </w:pPr>
    </w:p>
    <w:p w:rsidR="00A42CFC" w:rsidRPr="004C7E39" w:rsidRDefault="006345DC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:rsidR="001A79D0" w:rsidRPr="004C7E39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F63C55" w:rsidRPr="004C7E39">
        <w:rPr>
          <w:sz w:val="24"/>
          <w:szCs w:val="24"/>
        </w:rPr>
        <w:t>.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программам. </w:t>
      </w:r>
    </w:p>
    <w:p w:rsidR="00D16E3F" w:rsidRPr="004C7E39" w:rsidRDefault="00786A06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D27914">
        <w:fldChar w:fldCharType="begin"/>
      </w:r>
      <w:r w:rsidR="00D27914">
        <w:instrText xml:space="preserve"> REF _Ref438363884 \r \h  \* MERGEFORMAT </w:instrText>
      </w:r>
      <w:r w:rsidR="00D27914">
        <w:fldChar w:fldCharType="separate"/>
      </w:r>
      <w:r w:rsidR="00605244" w:rsidRPr="00605244">
        <w:rPr>
          <w:rFonts w:ascii="Times New Roman" w:hAnsi="Times New Roman"/>
          <w:sz w:val="24"/>
          <w:szCs w:val="24"/>
        </w:rPr>
        <w:t>11.1</w:t>
      </w:r>
      <w:r w:rsidR="00D27914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B3105D" w:rsidRPr="00F2598F" w:rsidRDefault="00B3105D" w:rsidP="007050A0">
      <w:pPr>
        <w:pStyle w:val="2-"/>
      </w:pP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050A0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:rsidR="00EF6765" w:rsidRPr="00F2598F" w:rsidRDefault="6BDCEDE7" w:rsidP="007050A0">
      <w:pPr>
        <w:pStyle w:val="2-"/>
      </w:pPr>
      <w:bookmarkStart w:id="111" w:name="_Toc40861763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B3105D" w:rsidRPr="00F2598F" w:rsidRDefault="00B3105D" w:rsidP="007050A0">
      <w:pPr>
        <w:pStyle w:val="2-"/>
      </w:pPr>
    </w:p>
    <w:p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</w:t>
      </w:r>
      <w:r w:rsidRPr="00F2598F">
        <w:rPr>
          <w:sz w:val="24"/>
          <w:szCs w:val="24"/>
        </w:rPr>
        <w:lastRenderedPageBreak/>
        <w:t xml:space="preserve">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E455C" w:rsidRPr="00273855" w:rsidRDefault="007E455C" w:rsidP="007050A0">
      <w:pPr>
        <w:pStyle w:val="2-"/>
      </w:pPr>
    </w:p>
    <w:p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7E455C" w:rsidRPr="00273855" w:rsidRDefault="007E455C" w:rsidP="007050A0">
      <w:pPr>
        <w:pStyle w:val="2-"/>
      </w:pPr>
    </w:p>
    <w:bookmarkEnd w:id="131"/>
    <w:p w:rsidR="00AB0438" w:rsidRPr="00273855" w:rsidRDefault="00232BE7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E455C" w:rsidRPr="00F2598F" w:rsidRDefault="007E455C" w:rsidP="007050A0">
      <w:pPr>
        <w:pStyle w:val="2-"/>
      </w:pPr>
    </w:p>
    <w:bookmarkEnd w:id="135"/>
    <w:p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6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 w:rsidR="00C46006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Pr="00F2598F" w:rsidRDefault="00692001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34917" w:rsidRPr="00F2598F" w:rsidRDefault="0023491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от 27.07.2010 № 210-ФЗ </w:t>
      </w:r>
      <w:r w:rsidR="004E3792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:rsidR="007E455C" w:rsidRPr="00F2598F" w:rsidRDefault="007E455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050A0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9"/>
      <w:bookmarkEnd w:id="170"/>
      <w:bookmarkEnd w:id="173"/>
      <w:bookmarkEnd w:id="174"/>
      <w:bookmarkEnd w:id="175"/>
    </w:p>
    <w:p w:rsidR="007E455C" w:rsidRPr="00F2598F" w:rsidRDefault="007E455C" w:rsidP="007050A0">
      <w:pPr>
        <w:pStyle w:val="2-"/>
      </w:pPr>
    </w:p>
    <w:bookmarkEnd w:id="171"/>
    <w:p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«Узнать статус </w:t>
      </w:r>
      <w:r w:rsidR="002D67B9">
        <w:t>Заявления</w:t>
      </w:r>
      <w:r w:rsidR="6BDCEDE7" w:rsidRPr="00F2598F">
        <w:t>»;</w:t>
      </w:r>
    </w:p>
    <w:p w:rsidR="003C541F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550-50-30.</w:t>
      </w:r>
    </w:p>
    <w:p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E27BF4" w:rsidRPr="00E27BF4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 w:rsidR="00E27BF4">
        <w:rPr>
          <w:b/>
          <w:sz w:val="24"/>
          <w:szCs w:val="24"/>
        </w:rPr>
        <w:t>В форме электронного документа в Личный кабинет на РПГУ.</w:t>
      </w:r>
    </w:p>
    <w:p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6"/>
    <w:p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 xml:space="preserve">18. </w:t>
      </w:r>
      <w:r w:rsidR="00540148" w:rsidRPr="00273855">
        <w:t>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:rsidR="007E455C" w:rsidRPr="00F2598F" w:rsidRDefault="007E455C" w:rsidP="007050A0">
      <w:pPr>
        <w:pStyle w:val="2-"/>
      </w:pPr>
    </w:p>
    <w:bookmarkEnd w:id="187"/>
    <w:p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11,5</w:t>
      </w:r>
      <w:r w:rsidR="6BDCEDE7" w:rsidRPr="00F2598F">
        <w:rPr>
          <w:sz w:val="24"/>
          <w:szCs w:val="24"/>
        </w:rPr>
        <w:t xml:space="preserve"> минут.</w:t>
      </w:r>
    </w:p>
    <w:p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="00540148" w:rsidRPr="00F2598F">
        <w:t xml:space="preserve">Требования к помещениям, </w:t>
      </w:r>
      <w:bookmarkEnd w:id="192"/>
      <w:bookmarkEnd w:id="193"/>
      <w:bookmarkEnd w:id="194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5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8"/>
      <w:bookmarkEnd w:id="189"/>
      <w:bookmarkEnd w:id="196"/>
    </w:p>
    <w:p w:rsidR="004437A6" w:rsidRPr="00F2598F" w:rsidRDefault="004437A6" w:rsidP="007050A0">
      <w:pPr>
        <w:pStyle w:val="2-"/>
      </w:pPr>
    </w:p>
    <w:p w:rsidR="00C10B67" w:rsidRPr="00F2598F" w:rsidRDefault="006345DC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D4218E" w:rsidRPr="00F2598F" w:rsidRDefault="6BDCEDE7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2DF33B57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201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201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5E50AFC2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19.4.7. средствами дублирования необходимой для инвалидов звуковой и зрительной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35DC8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2"/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="009039BC"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:rsidR="004437A6" w:rsidRPr="00F2598F" w:rsidRDefault="004437A6" w:rsidP="007050A0">
      <w:pPr>
        <w:pStyle w:val="2-"/>
      </w:pPr>
    </w:p>
    <w:p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:rsidR="00946620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:rsidR="00D97100" w:rsidRPr="00F2598F" w:rsidRDefault="00D97100" w:rsidP="007050A0">
      <w:pPr>
        <w:pStyle w:val="2-"/>
      </w:pPr>
    </w:p>
    <w:bookmarkEnd w:id="212"/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lastRenderedPageBreak/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</w:p>
    <w:p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3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</w:p>
    <w:p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F2598F" w:rsidRDefault="00415A64" w:rsidP="007050A0">
      <w:pPr>
        <w:pStyle w:val="2-"/>
      </w:pPr>
      <w:bookmarkStart w:id="214" w:name="_Toc28377954"/>
      <w:bookmarkStart w:id="215" w:name="_Toc40861772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:rsidR="00D364CB" w:rsidRPr="00F2598F" w:rsidRDefault="00D364CB" w:rsidP="007050A0">
      <w:pPr>
        <w:pStyle w:val="2-"/>
      </w:pPr>
    </w:p>
    <w:p w:rsidR="00461595" w:rsidRPr="00605951" w:rsidRDefault="00B96966" w:rsidP="00605951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>
        <w:rPr>
          <w:rFonts w:ascii="Times New Roman" w:eastAsia="Times New Roman" w:hAnsi="Times New Roman"/>
          <w:sz w:val="24"/>
          <w:szCs w:val="24"/>
        </w:rPr>
        <w:t>ая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>
        <w:rPr>
          <w:rFonts w:ascii="Times New Roman" w:eastAsia="Times New Roman" w:hAnsi="Times New Roman"/>
          <w:sz w:val="24"/>
          <w:szCs w:val="24"/>
        </w:rPr>
        <w:t>а</w:t>
      </w:r>
      <w:r w:rsidR="00946620" w:rsidRPr="00F2598F">
        <w:rPr>
          <w:rFonts w:ascii="Times New Roman" w:hAnsi="Times New Roman"/>
          <w:sz w:val="24"/>
          <w:szCs w:val="24"/>
        </w:rPr>
        <w:t xml:space="preserve"> в МФЦ </w:t>
      </w:r>
      <w:r w:rsidR="0058758F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:rsidR="000E6C84" w:rsidRDefault="00B96966" w:rsidP="007050A0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:rsidR="004C7E39" w:rsidRPr="00F2598F" w:rsidRDefault="004C7E39" w:rsidP="007050A0">
      <w:pPr>
        <w:pStyle w:val="2-"/>
      </w:pPr>
    </w:p>
    <w:bookmarkEnd w:id="227"/>
    <w:p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51678F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:rsidR="000D6DB0" w:rsidRDefault="0051678F" w:rsidP="00605951">
      <w:pPr>
        <w:pStyle w:val="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050A0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:rsidR="00D364CB" w:rsidRPr="00F2598F" w:rsidRDefault="00D364CB" w:rsidP="00605951">
      <w:pPr>
        <w:pStyle w:val="2-"/>
        <w:widowControl w:val="0"/>
      </w:pPr>
    </w:p>
    <w:bookmarkEnd w:id="238"/>
    <w:p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lastRenderedPageBreak/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050A0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:rsidR="00105A8B" w:rsidRPr="00F2598F" w:rsidRDefault="00105A8B" w:rsidP="007050A0">
      <w:pPr>
        <w:pStyle w:val="2-"/>
        <w:rPr>
          <w:lang w:eastAsia="ru-RU"/>
        </w:rPr>
      </w:pPr>
    </w:p>
    <w:p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050A0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:rsidR="00105A8B" w:rsidRPr="00F2598F" w:rsidRDefault="00105A8B" w:rsidP="007050A0">
      <w:pPr>
        <w:pStyle w:val="2-"/>
      </w:pPr>
    </w:p>
    <w:bookmarkEnd w:id="250"/>
    <w:p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050A0">
      <w:pPr>
        <w:pStyle w:val="2-"/>
      </w:pPr>
      <w:bookmarkStart w:id="251" w:name="_Toc28377961"/>
      <w:bookmarkStart w:id="252" w:name="_Toc40861779"/>
      <w:r w:rsidRPr="00F2598F">
        <w:lastRenderedPageBreak/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105A8B" w:rsidRPr="00F2598F" w:rsidRDefault="00105A8B" w:rsidP="007050A0">
      <w:pPr>
        <w:pStyle w:val="2-"/>
      </w:pPr>
    </w:p>
    <w:bookmarkEnd w:id="256"/>
    <w:p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7"/>
      <w:bookmarkEnd w:id="258"/>
      <w:bookmarkEnd w:id="259"/>
    </w:p>
    <w:p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</w:p>
    <w:p w:rsidR="00105A8B" w:rsidRPr="00F2598F" w:rsidRDefault="00105A8B" w:rsidP="007050A0">
      <w:pPr>
        <w:pStyle w:val="2-"/>
        <w:rPr>
          <w:lang w:eastAsia="ar-SA"/>
        </w:rPr>
      </w:pPr>
    </w:p>
    <w:bookmarkEnd w:id="260"/>
    <w:p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отказа не </w:t>
      </w:r>
      <w:r w:rsidRPr="004C7E39">
        <w:rPr>
          <w:rFonts w:ascii="Times New Roman" w:hAnsi="Times New Roman"/>
          <w:sz w:val="24"/>
          <w:szCs w:val="24"/>
        </w:rPr>
        <w:lastRenderedPageBreak/>
        <w:t>предусмотрены законодательством Российской Федерации;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:rsidR="00DC3201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4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050A0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8F65DB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27278E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bookmarkEnd w:id="275"/>
    </w:p>
    <w:p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 xml:space="preserve">разделом 3 настоящего </w:t>
      </w:r>
      <w:r w:rsidR="00BE2CC0" w:rsidRPr="00F2598F">
        <w:rPr>
          <w:rFonts w:ascii="Times New Roman" w:hAnsi="Times New Roman"/>
          <w:sz w:val="24"/>
          <w:szCs w:val="24"/>
        </w:rPr>
        <w:lastRenderedPageBreak/>
        <w:t>Административного регламента.</w:t>
      </w:r>
    </w:p>
    <w:p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bookmarkEnd w:id="279"/>
    </w:p>
    <w:p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:rsidR="002E6D37" w:rsidRPr="00F2598F" w:rsidRDefault="002E6D37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:rsidR="002E6D37" w:rsidRPr="00F2598F" w:rsidRDefault="002E6D37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3A52FE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2E6D37" w:rsidRPr="00F2598F" w:rsidRDefault="001569C7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:rsidR="005E6016" w:rsidRDefault="005E6016" w:rsidP="007050A0">
      <w:pPr>
        <w:pStyle w:val="2-"/>
      </w:pP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FA3552" w:rsidRPr="00F2598F" w:rsidRDefault="00FA3552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40861787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:rsidR="00FA3552" w:rsidRPr="00F2598F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3A52FE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FA3552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:rsidTr="00251E78">
        <w:trPr>
          <w:trHeight w:val="783"/>
        </w:trPr>
        <w:tc>
          <w:tcPr>
            <w:tcW w:w="1258" w:type="dxa"/>
          </w:tcPr>
          <w:p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B82806">
        <w:trPr>
          <w:trHeight w:val="356"/>
        </w:trPr>
        <w:tc>
          <w:tcPr>
            <w:tcW w:w="1258" w:type="dxa"/>
          </w:tcPr>
          <w:p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B82806">
        <w:trPr>
          <w:trHeight w:val="85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251E78">
        <w:trPr>
          <w:trHeight w:val="78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251E78">
        <w:trPr>
          <w:trHeight w:val="174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251E78">
        <w:trPr>
          <w:trHeight w:val="661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B82806">
        <w:trPr>
          <w:trHeight w:val="63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 w:rsidP="00090E4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(Четырех)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7E71EA">
        <w:trPr>
          <w:trHeight w:val="65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B82806">
        <w:trPr>
          <w:trHeight w:val="54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:rsidTr="00251E78">
        <w:trPr>
          <w:trHeight w:val="1128"/>
        </w:trPr>
        <w:tc>
          <w:tcPr>
            <w:tcW w:w="1258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13.2.14.</w:t>
            </w:r>
          </w:p>
        </w:tc>
        <w:tc>
          <w:tcPr>
            <w:tcW w:w="4430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E71EA" w:rsidRDefault="007E71EA" w:rsidP="007050A0">
      <w:pPr>
        <w:pStyle w:val="2-"/>
      </w:pPr>
      <w:r w:rsidRPr="00F2598F">
        <w:br w:type="page"/>
      </w:r>
    </w:p>
    <w:p w:rsidR="007E71EA" w:rsidRPr="00F2598F" w:rsidRDefault="007E71EA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40861789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:rsidR="007E71EA" w:rsidRDefault="007E71EA" w:rsidP="007050A0">
      <w:pPr>
        <w:pStyle w:val="2-"/>
      </w:pPr>
      <w:bookmarkStart w:id="296" w:name="_Toc40861791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6"/>
    </w:p>
    <w:p w:rsidR="00074C9B" w:rsidRPr="00F2598F" w:rsidRDefault="00074C9B" w:rsidP="007050A0">
      <w:pPr>
        <w:pStyle w:val="2-"/>
      </w:pPr>
      <w:bookmarkStart w:id="297" w:name="_Toc40861792"/>
      <w:r>
        <w:t>(с указанием их реквизитов и источников официального опубликования)</w:t>
      </w:r>
      <w:bookmarkEnd w:id="297"/>
    </w:p>
    <w:p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7E71EA" w:rsidRPr="00F2598F" w:rsidRDefault="007E71EA" w:rsidP="007050A0">
      <w:pPr>
        <w:pStyle w:val="2-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460972" w:rsidRDefault="009F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 w:rsidR="00B13A92"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 w:rsidR="0025180C">
        <w:rPr>
          <w:b w:val="0"/>
          <w:bCs/>
          <w:szCs w:val="24"/>
        </w:rPr>
        <w:t xml:space="preserve"> (</w:t>
      </w:r>
      <w:r w:rsidR="00764104">
        <w:rPr>
          <w:b w:val="0"/>
          <w:bCs/>
          <w:szCs w:val="24"/>
        </w:rPr>
        <w:t>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 w:rsidR="00146F53">
        <w:rPr>
          <w:b w:val="0"/>
          <w:bCs/>
          <w:szCs w:val="24"/>
        </w:rPr>
        <w:t xml:space="preserve">«Российская газета», № 95, 05.05.2006, </w:t>
      </w:r>
      <w:r w:rsidR="007D1DC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 w:rsidR="00146F53">
        <w:rPr>
          <w:b w:val="0"/>
          <w:bCs/>
          <w:szCs w:val="24"/>
        </w:rPr>
        <w:t xml:space="preserve">, «Парламентская газета», </w:t>
      </w:r>
      <w:r w:rsidR="002F5EAC">
        <w:rPr>
          <w:b w:val="0"/>
          <w:bCs/>
          <w:szCs w:val="24"/>
        </w:rPr>
        <w:br/>
      </w:r>
      <w:r w:rsidR="00146F53">
        <w:rPr>
          <w:b w:val="0"/>
          <w:bCs/>
          <w:szCs w:val="24"/>
        </w:rPr>
        <w:t>№ 70-71, 11.05.2006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 w:rsidR="00B5468C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B5468C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468C"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 w:rsidR="00B5468C"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9.</w:t>
      </w:r>
      <w:r w:rsidRPr="00F2598F">
        <w:rPr>
          <w:b w:val="0"/>
          <w:bCs/>
          <w:szCs w:val="24"/>
        </w:rPr>
        <w:tab/>
      </w:r>
      <w:r w:rsidR="006E00E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Семейный кодекс Российской Федерации</w:t>
      </w:r>
      <w:r w:rsidR="006E00E5">
        <w:rPr>
          <w:b w:val="0"/>
          <w:bCs/>
          <w:szCs w:val="24"/>
        </w:rPr>
        <w:t>» от 29.12.1995 № 223-ФЗ</w:t>
      </w:r>
      <w:r w:rsidRPr="00F2598F">
        <w:rPr>
          <w:b w:val="0"/>
          <w:bCs/>
          <w:szCs w:val="24"/>
        </w:rPr>
        <w:t xml:space="preserve"> (</w:t>
      </w:r>
      <w:r w:rsidR="00D66D91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66D91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D66D91">
        <w:rPr>
          <w:b w:val="0"/>
          <w:bCs/>
          <w:szCs w:val="24"/>
        </w:rPr>
        <w:t>01.01.</w:t>
      </w:r>
      <w:r w:rsidRPr="00F2598F">
        <w:rPr>
          <w:b w:val="0"/>
          <w:bCs/>
          <w:szCs w:val="24"/>
        </w:rPr>
        <w:t>1996, № 1, ст. 16</w:t>
      </w:r>
      <w:r w:rsidR="00D66D91">
        <w:rPr>
          <w:b w:val="0"/>
          <w:bCs/>
          <w:szCs w:val="24"/>
        </w:rPr>
        <w:t>, «Российская газета», № 17, 27.01.1996</w:t>
      </w:r>
      <w:r w:rsidRPr="00F2598F">
        <w:rPr>
          <w:b w:val="0"/>
          <w:bCs/>
          <w:szCs w:val="24"/>
        </w:rPr>
        <w:t xml:space="preserve">); 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</w:t>
      </w:r>
      <w:r w:rsidR="009F1D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правовой информации http://www.pravo.gov.ru, 20.07.2013,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«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 w:rsidR="0013470C">
        <w:rPr>
          <w:rFonts w:ascii="Times New Roman" w:hAnsi="Times New Roman"/>
          <w:sz w:val="24"/>
          <w:szCs w:val="24"/>
          <w:lang w:eastAsia="ru-RU"/>
        </w:rPr>
        <w:t>Федерации»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№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="009F1D37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  <w:t xml:space="preserve">Закон Московской области </w:t>
      </w:r>
      <w:r w:rsidR="00217FAC"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17.</w:t>
      </w:r>
      <w:r w:rsidRPr="00F2598F">
        <w:rPr>
          <w:b w:val="0"/>
          <w:bCs/>
          <w:szCs w:val="24"/>
        </w:rPr>
        <w:tab/>
        <w:t>Устав муниципального образования______________________________</w:t>
      </w:r>
      <w:r w:rsidR="003E7AFA">
        <w:rPr>
          <w:b w:val="0"/>
          <w:bCs/>
          <w:szCs w:val="24"/>
        </w:rPr>
        <w:t>____________</w:t>
      </w:r>
    </w:p>
    <w:p w:rsidR="003E7AFA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_______________________________________________________________________</w:t>
      </w:r>
      <w:r w:rsidR="003E7AFA">
        <w:rPr>
          <w:b w:val="0"/>
          <w:bCs/>
          <w:szCs w:val="24"/>
        </w:rPr>
        <w:t>_____________</w:t>
      </w:r>
      <w:r w:rsidRPr="00F2598F">
        <w:rPr>
          <w:b w:val="0"/>
          <w:bCs/>
          <w:szCs w:val="24"/>
        </w:rPr>
        <w:t xml:space="preserve">; </w:t>
      </w:r>
    </w:p>
    <w:p w:rsidR="007E71EA" w:rsidRPr="00F2598F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18.</w:t>
      </w:r>
      <w:r w:rsidRPr="00F2598F">
        <w:rPr>
          <w:b w:val="0"/>
          <w:bCs/>
          <w:szCs w:val="24"/>
        </w:rPr>
        <w:tab/>
      </w:r>
      <w:r w:rsidR="003E7AFA">
        <w:rPr>
          <w:b w:val="0"/>
          <w:bCs/>
          <w:szCs w:val="24"/>
        </w:rPr>
        <w:t>п</w:t>
      </w:r>
      <w:r w:rsidR="003E7AFA" w:rsidRPr="00F2598F">
        <w:rPr>
          <w:b w:val="0"/>
          <w:bCs/>
          <w:szCs w:val="24"/>
        </w:rPr>
        <w:t xml:space="preserve">равовые </w:t>
      </w:r>
      <w:r w:rsidRPr="00F2598F">
        <w:rPr>
          <w:b w:val="0"/>
          <w:bCs/>
          <w:szCs w:val="24"/>
        </w:rPr>
        <w:t>акты муниципального образования Московской области</w:t>
      </w:r>
      <w:r w:rsidR="003E7AFA">
        <w:rPr>
          <w:b w:val="0"/>
          <w:bCs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19.</w:t>
      </w:r>
      <w:r w:rsidRPr="00F2598F">
        <w:rPr>
          <w:b w:val="0"/>
          <w:bCs/>
          <w:szCs w:val="24"/>
        </w:rPr>
        <w:tab/>
        <w:t xml:space="preserve">Устав </w:t>
      </w:r>
      <w:r w:rsidR="003E7AFA"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20.    </w:t>
      </w:r>
      <w:r w:rsidR="003E7AFA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:rsidR="007E71EA" w:rsidRDefault="007E71EA" w:rsidP="007050A0">
      <w:pPr>
        <w:pStyle w:val="2-"/>
      </w:pPr>
    </w:p>
    <w:p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8" w:name="_Toc40861793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8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036698" w:rsidRDefault="00036698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9" w:name="_Toc40861794"/>
      <w:r w:rsidRPr="00F2598F">
        <w:t>Форма Запроса о предоставлении Муниципальной услуги</w:t>
      </w:r>
      <w:bookmarkEnd w:id="299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476"/>
        <w:gridCol w:w="2774"/>
        <w:gridCol w:w="554"/>
        <w:gridCol w:w="3198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00" w:name="_Toc40861795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300"/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1" w:name="_Toc40861796"/>
      <w:r w:rsidRPr="00F2598F">
        <w:t>Описание документов, необходимых для предоставления Муниципальной услуги</w:t>
      </w:r>
      <w:bookmarkEnd w:id="301"/>
    </w:p>
    <w:p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3F1353" w:rsidRPr="00F2598F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3F1353" w:rsidRPr="00146DB0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3F1353" w:rsidRDefault="003F1353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1323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3F1353" w:rsidRPr="000E6F1A" w:rsidRDefault="003F1353" w:rsidP="000363A9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3F1353" w:rsidRPr="00F2598F" w:rsidRDefault="003F1353" w:rsidP="00036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4A40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F5305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3F1353" w:rsidRPr="00374FA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Default="003F135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4B1779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871040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3F1353" w:rsidRPr="00871040" w:rsidRDefault="003F1353" w:rsidP="008710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E53F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попечителей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несовершеннолетнего или ограниченно дееспособного лица)</w:t>
            </w: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:rsidR="00733646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- документ, удостоверяющий личность опекуна 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="00BF5148"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Российской Федерации за пределами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B6790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632D5B">
        <w:trPr>
          <w:trHeight w:val="301"/>
        </w:trPr>
        <w:tc>
          <w:tcPr>
            <w:tcW w:w="1812" w:type="dxa"/>
            <w:shd w:val="clear" w:color="auto" w:fill="FFFFFF"/>
          </w:tcPr>
          <w:p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1C13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1745B7" w:rsidRDefault="001745B7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shd w:val="clear" w:color="auto" w:fill="FFFFFF"/>
          </w:tcPr>
          <w:p w:rsidR="00B70868" w:rsidRDefault="003F1353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954C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2" w:name="_Toc40861797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2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3878A8" w:rsidRDefault="003878A8" w:rsidP="00377033">
      <w:pPr>
        <w:pStyle w:val="aff5"/>
        <w:spacing w:after="0"/>
        <w:jc w:val="left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303" w:name="_Hlk20901273"/>
    </w:p>
    <w:p w:rsidR="003878A8" w:rsidRPr="00F2598F" w:rsidRDefault="00EA6058" w:rsidP="00EA6058">
      <w:pPr>
        <w:pStyle w:val="2-"/>
      </w:pPr>
      <w:bookmarkStart w:id="304" w:name="_Toc40861798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4"/>
    </w:p>
    <w:bookmarkEnd w:id="303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:rsidTr="00D33A88">
        <w:trPr>
          <w:trHeight w:val="802"/>
        </w:trPr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203297">
        <w:trPr>
          <w:trHeight w:val="291"/>
        </w:trPr>
        <w:tc>
          <w:tcPr>
            <w:tcW w:w="1126" w:type="dxa"/>
          </w:tcPr>
          <w:p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:rsidTr="00D33A88">
        <w:trPr>
          <w:trHeight w:val="958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</w:t>
            </w:r>
            <w:r w:rsidRPr="00F2598F">
              <w:rPr>
                <w:sz w:val="24"/>
                <w:szCs w:val="24"/>
              </w:rPr>
              <w:lastRenderedPageBreak/>
              <w:t xml:space="preserve">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BE2019">
        <w:trPr>
          <w:trHeight w:val="1363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3878A8" w:rsidRPr="00F2598F" w:rsidRDefault="003878A8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5" w:name="_Toc40861799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5"/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6" w:name="_Toc40861800"/>
      <w:r w:rsidRPr="00F2598F">
        <w:t>Форма уведомления о назначении приемных (вступительных) испытаний</w:t>
      </w:r>
      <w:bookmarkEnd w:id="306"/>
    </w:p>
    <w:p w:rsidR="00742338" w:rsidRDefault="00742338" w:rsidP="007050A0">
      <w:pPr>
        <w:pStyle w:val="2-"/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42338" w:rsidRPr="00F2598F" w:rsidRDefault="00742338" w:rsidP="007050A0">
      <w:pPr>
        <w:pStyle w:val="2-"/>
      </w:pP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7" w:name="_Toc40861801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7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8" w:name="_Toc40861802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8"/>
      <w:r w:rsidRPr="00F2598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 гр. ________________________.</w:t>
      </w:r>
    </w:p>
    <w:p w:rsidR="00612E8C" w:rsidRPr="00F2598F" w:rsidRDefault="00612E8C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9" w:name="_Toc40861803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9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7F7218" w:rsidRPr="00062B9C" w:rsidRDefault="007F7218" w:rsidP="007050A0">
      <w:pPr>
        <w:pStyle w:val="2-"/>
      </w:pPr>
      <w:bookmarkStart w:id="310" w:name="_Toc40861804"/>
      <w:r w:rsidRPr="00062B9C">
        <w:t>Форма договора об образовании на обучение по дополнительным образовательным программам</w:t>
      </w:r>
      <w:bookmarkEnd w:id="310"/>
    </w:p>
    <w:p w:rsidR="00285E39" w:rsidRDefault="00285E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2.3.5. Получать полную и достоверную информацию об оценке своих знаний, умений, навыков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компетенций, а также о критериях этой оценки.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(период оплаты (единовременно, ежемесячно, ежеквартально, по четвертям, полугодиям или иной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7"/>
      <w:bookmarkEnd w:id="338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>. N 706 (Собрание законодательства Российской Федерации, 2013, N 34, ст. 4437).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60" w:name="_Toc40861806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60"/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3A52FE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445B32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Pr="00F2598F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61" w:name="_Toc40861807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33559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Обеспечивать посещение занятий в соответствии с утвержденным расписанием.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C8B" w:rsidRPr="00F2598F" w:rsidRDefault="00621C8B" w:rsidP="00621C8B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63" w:name="_Toc40861808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3"/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B240D7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 Административ</w:t>
      </w:r>
      <w:r w:rsidR="00B240D7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E1" w:rsidRDefault="000E6DE1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Hlk20901287"/>
    </w:p>
    <w:p w:rsidR="00746AA1" w:rsidRDefault="00746AA1" w:rsidP="007050A0">
      <w:pPr>
        <w:pStyle w:val="2-"/>
      </w:pPr>
    </w:p>
    <w:p w:rsidR="00746AA1" w:rsidRDefault="00746AA1" w:rsidP="007050A0">
      <w:pPr>
        <w:pStyle w:val="2-"/>
      </w:pPr>
    </w:p>
    <w:p w:rsidR="002E6D37" w:rsidRPr="00F2598F" w:rsidRDefault="002E6D37" w:rsidP="007050A0">
      <w:pPr>
        <w:pStyle w:val="2-"/>
      </w:pPr>
      <w:bookmarkStart w:id="369" w:name="_Toc40861809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9"/>
    </w:p>
    <w:bookmarkEnd w:id="368"/>
    <w:p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</w:p>
    <w:p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DE0E95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Муниципальной услуги либо отказ в его регистрации. </w:t>
            </w:r>
          </w:p>
          <w:p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</w:p>
        </w:tc>
      </w:tr>
      <w:tr w:rsidR="002E6D37" w:rsidRPr="00F2598F" w:rsidTr="00DE0E95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:rsidTr="00DE0E95">
        <w:tc>
          <w:tcPr>
            <w:tcW w:w="1838" w:type="dxa"/>
            <w:vMerge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находящихся в распоряжении у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B70868" w:rsidRPr="00D01D3E" w:rsidRDefault="00B70868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:rsidTr="00425164">
        <w:tc>
          <w:tcPr>
            <w:tcW w:w="183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97B4A" w:rsidRPr="00F2598F" w:rsidTr="00425164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D97B4A" w:rsidRPr="00F2598F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  <w:r w:rsidR="00EC580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D97B4A" w:rsidRPr="00F2598F" w:rsidRDefault="00907FE7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D97B4A" w:rsidRPr="00F2598F" w:rsidRDefault="00D97B4A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Организацию посредством РПГУ,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для отказа в предоставлении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907FE7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посредством РПГУ в Организацию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7B4A" w:rsidRDefault="00907FE7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необходимости проведения 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испытаний, Заявителю направляется уведомление </w:t>
            </w:r>
            <w:r w:rsidR="004C74B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8 к настоящему Административному регламенту,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посещении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 оригиналами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</w:t>
            </w:r>
            <w:r w:rsidR="00D97B4A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0868" w:rsidRDefault="00907FE7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4 (Ч</w:t>
            </w:r>
            <w:r>
              <w:rPr>
                <w:rFonts w:ascii="Times New Roman" w:hAnsi="Times New Roman"/>
                <w:sz w:val="24"/>
                <w:szCs w:val="24"/>
              </w:rPr>
              <w:t>етырех</w:t>
            </w:r>
            <w:r w:rsidR="004C74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4B3" w:rsidRDefault="004C74B3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</w:t>
            </w:r>
            <w:r w:rsidR="00A665FB">
              <w:rPr>
                <w:rFonts w:ascii="Times New Roman" w:hAnsi="Times New Roman"/>
                <w:sz w:val="24"/>
                <w:szCs w:val="24"/>
              </w:rPr>
              <w:t xml:space="preserve">приемных (вступительных) испытаний, Заявителю направляется уведомление по форме Приложения 7 к настоящему </w:t>
            </w:r>
            <w:r w:rsidR="00A66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Административному регламенту, о </w:t>
            </w:r>
            <w:r w:rsidR="00EC580F">
              <w:rPr>
                <w:rFonts w:ascii="Times New Roman" w:hAnsi="Times New Roman"/>
                <w:sz w:val="24"/>
                <w:szCs w:val="24"/>
              </w:rPr>
              <w:t>явке на приемные (вступительные) испытания с оригиналами документов.</w:t>
            </w:r>
          </w:p>
          <w:p w:rsidR="00D01D3E" w:rsidRPr="00D01D3E" w:rsidRDefault="00D01D3E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уведомление о необходимости посетить Организацию для подписания договора, либо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) испытаний.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4A" w:rsidRPr="00F2598F" w:rsidRDefault="00D97B4A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ВИС Организации, Личном кабинете Заявителя на РПГУ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FE7" w:rsidRPr="00F2598F" w:rsidTr="00B56662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907FE7" w:rsidRPr="00F2598F" w:rsidRDefault="00907FE7" w:rsidP="00D33A8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0868" w:rsidRPr="00425164" w:rsidRDefault="00B70868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B70868" w:rsidRPr="00425164" w:rsidRDefault="00B70868" w:rsidP="0042516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</w:t>
            </w:r>
            <w:r w:rsidRPr="00F2598F">
              <w:rPr>
                <w:sz w:val="24"/>
                <w:szCs w:val="24"/>
              </w:rPr>
              <w:lastRenderedPageBreak/>
              <w:t xml:space="preserve">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 даты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777C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:rsidTr="00DE0E95">
        <w:tc>
          <w:tcPr>
            <w:tcW w:w="1838" w:type="dxa"/>
            <w:shd w:val="clear" w:color="auto" w:fill="auto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несоответствия документов работник Организации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об отказе в предоставлении Муниципальной услуги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DE0E95">
        <w:tc>
          <w:tcPr>
            <w:tcW w:w="1838" w:type="dxa"/>
            <w:shd w:val="clear" w:color="auto" w:fill="auto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6240E1" w:rsidRPr="00F2598F" w:rsidRDefault="006240E1" w:rsidP="00AB78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:rsidTr="00AA137B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AA137B">
        <w:tc>
          <w:tcPr>
            <w:tcW w:w="1838" w:type="dxa"/>
            <w:shd w:val="clear" w:color="auto" w:fill="auto"/>
          </w:tcPr>
          <w:p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FF5FC0" w:rsidRPr="00F2598F" w:rsidSect="00621C8B">
      <w:headerReference w:type="default" r:id="rId22"/>
      <w:footerReference w:type="default" r:id="rId23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91" w:rsidRDefault="00942691" w:rsidP="005F1EAE">
      <w:pPr>
        <w:spacing w:after="0" w:line="240" w:lineRule="auto"/>
      </w:pPr>
      <w:r>
        <w:separator/>
      </w:r>
    </w:p>
  </w:endnote>
  <w:endnote w:type="continuationSeparator" w:id="0">
    <w:p w:rsidR="00942691" w:rsidRDefault="00942691" w:rsidP="005F1EAE">
      <w:pPr>
        <w:spacing w:after="0" w:line="240" w:lineRule="auto"/>
      </w:pPr>
      <w:r>
        <w:continuationSeparator/>
      </w:r>
    </w:p>
  </w:endnote>
  <w:endnote w:type="continuationNotice" w:id="1">
    <w:p w:rsidR="00942691" w:rsidRDefault="00942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4" w:rsidRDefault="00605244" w:rsidP="00461595">
    <w:pPr>
      <w:pStyle w:val="a9"/>
      <w:jc w:val="center"/>
    </w:pPr>
  </w:p>
  <w:p w:rsidR="00605244" w:rsidRDefault="006052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4" w:rsidRDefault="00605244" w:rsidP="00A55FBB">
    <w:pPr>
      <w:pStyle w:val="a9"/>
      <w:framePr w:wrap="none" w:vAnchor="text" w:hAnchor="margin" w:xAlign="right" w:y="1"/>
      <w:rPr>
        <w:rStyle w:val="af5"/>
      </w:rPr>
    </w:pPr>
  </w:p>
  <w:p w:rsidR="00605244" w:rsidRPr="00FF3AC8" w:rsidRDefault="00605244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4" w:rsidRDefault="00605244" w:rsidP="00A55FBB">
    <w:pPr>
      <w:pStyle w:val="a9"/>
      <w:framePr w:wrap="none" w:vAnchor="text" w:hAnchor="margin" w:xAlign="right" w:y="1"/>
      <w:rPr>
        <w:rStyle w:val="af5"/>
      </w:rPr>
    </w:pPr>
  </w:p>
  <w:p w:rsidR="00605244" w:rsidRPr="00FF3AC8" w:rsidRDefault="00605244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91" w:rsidRDefault="00942691" w:rsidP="005F1EAE">
      <w:pPr>
        <w:spacing w:after="0" w:line="240" w:lineRule="auto"/>
      </w:pPr>
      <w:r>
        <w:separator/>
      </w:r>
    </w:p>
  </w:footnote>
  <w:footnote w:type="continuationSeparator" w:id="0">
    <w:p w:rsidR="00942691" w:rsidRDefault="00942691" w:rsidP="005F1EAE">
      <w:pPr>
        <w:spacing w:after="0" w:line="240" w:lineRule="auto"/>
      </w:pPr>
      <w:r>
        <w:continuationSeparator/>
      </w:r>
    </w:p>
  </w:footnote>
  <w:footnote w:type="continuationNotice" w:id="1">
    <w:p w:rsidR="00942691" w:rsidRDefault="009426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192732"/>
      <w:docPartObj>
        <w:docPartGallery w:val="Page Numbers (Top of Page)"/>
        <w:docPartUnique/>
      </w:docPartObj>
    </w:sdtPr>
    <w:sdtEndPr/>
    <w:sdtContent>
      <w:p w:rsidR="00605244" w:rsidRDefault="006052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244" w:rsidRDefault="006052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450061"/>
      <w:docPartObj>
        <w:docPartGallery w:val="Page Numbers (Top of Page)"/>
        <w:docPartUnique/>
      </w:docPartObj>
    </w:sdtPr>
    <w:sdtEndPr/>
    <w:sdtContent>
      <w:p w:rsidR="00605244" w:rsidRDefault="006052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E8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605244" w:rsidRPr="00E57E03" w:rsidRDefault="00605244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4" w:rsidRDefault="006052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4BE8">
      <w:rPr>
        <w:noProof/>
      </w:rPr>
      <w:t>71</w:t>
    </w:r>
    <w:r>
      <w:rPr>
        <w:noProof/>
      </w:rPr>
      <w:fldChar w:fldCharType="end"/>
    </w:r>
  </w:p>
  <w:p w:rsidR="00605244" w:rsidRPr="00E57E03" w:rsidRDefault="00605244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7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BA1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2C0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C96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290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4BE8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44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C38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9EF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2691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2CC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1E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914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54E9A8"/>
  <w15:docId w15:val="{33D85C97-407F-49E5-AE5F-295916F1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70549-7A99-4FD4-A1B3-E49ABBB21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B87F2-CD82-4846-8E09-DF8D4C7C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24465</Words>
  <Characters>139455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163593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Рим О.Н.</cp:lastModifiedBy>
  <cp:revision>2</cp:revision>
  <cp:lastPrinted>2020-12-10T06:43:00Z</cp:lastPrinted>
  <dcterms:created xsi:type="dcterms:W3CDTF">2020-12-18T08:33:00Z</dcterms:created>
  <dcterms:modified xsi:type="dcterms:W3CDTF">2020-12-18T08:33:00Z</dcterms:modified>
</cp:coreProperties>
</file>